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SKAGGS STEPHEN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COHERENT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375 SAXONBURG BOULEVARD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SAXONBURG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COHERENT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COHR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6"/>
        <w:gridCol w:w="931"/>
        <w:gridCol w:w="799"/>
        <w:gridCol w:w="618"/>
        <w:gridCol w:w="347"/>
        <w:gridCol w:w="829"/>
        <w:gridCol w:w="433"/>
        <w:gridCol w:w="1102"/>
        <w:gridCol w:w="1140"/>
        <w:gridCol w:w="986"/>
        <w:gridCol w:w="93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2,272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276.8758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14,592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transaction was effected pursuant to a Rule 10b5-1 trading plan adopted by the reporting person on December 3,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weighted average of multiple sale transactions ranging in price from $275.19 to $281.45. The reporting person agrees to provide full information regarding the number of shares sold at each separate price upon request by the SEC staff, the Company or a security holder of the Company.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M. Forrester,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24172" TargetMode="External"/><Relationship Id="rId5" Type="http://schemas.openxmlformats.org/officeDocument/2006/relationships/hyperlink" Target="http://www.sec.gov/cgi-bin/browse-edgar?action=getcompany&amp;CIK=00008203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633</Words>
  <Characters>3443</Characters>
  <CharactersWithSpaces>4008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