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Place Jeffrey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COHERENT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COHR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1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6"/>
              </w:rPr>
              <w:t>C/O COHERENT CORP.</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5100 PATRICK HENRY DRIVE</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95054</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CLARA</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Chief Supply Chain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20"/>
                <w:szCs w:val="20"/>
                <w:color w:val="0000FF"/>
              </w:rPr>
              <w:t>19,839</w:t>
            </w:r>
            <w:r>
              <w:rPr>
                <w:rFonts w:ascii="Times New Roman" w:cs="Times New Roman" w:eastAsia="Times New Roman" w:hAnsi="Times New Roman"/>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314 shares acquired in non-reportable transactions through Coherent Corp.'s employee stock purchase plan.</w:t>
      </w:r>
    </w:p>
    <w:p>
      <w:pPr>
        <w:spacing w:after="0" w:line="52" w:lineRule="exact"/>
        <w:rPr>
          <w:rFonts w:ascii="Times New Roman" w:cs="Times New Roman" w:eastAsia="Times New Roman" w:hAnsi="Times New Roman"/>
          <w:sz w:val="15"/>
          <w:szCs w:val="15"/>
          <w:color w:val="008000"/>
        </w:rPr>
      </w:pPr>
    </w:p>
    <w:p>
      <w:pPr>
        <w:ind w:left="40" w:right="4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19,525 shares underlying restricted stock units granted to the reporting person ("RSUs") under the Issuer's Omnibus Incentive Plan. Each of the RSUs represents a contingent right to receive one share of the Issuer's Common Stock upon settlement. 6,508 of such restricted stock units will vest on July 1, 2026, and the remaining 13,017 restricted stock units will vest in eight quarterly installments beginning October 1, 2026, in each case subject to the reporting person's continued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attached 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Chris Forrester,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207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2075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Jeffrey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 Place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27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KNOW ALL BY THESE PRESENTS, that Jeffrey B. Place (the “undersigned”) hereby constitutes and appoints Michael Kuder, Chris Forrester and Yian Huang acting as the undersigned’s true and lawful attorney-in-fact to:</w:t>
      </w:r>
    </w:p>
    <w:p>
      <w:pPr>
        <w:spacing w:after="0" w:line="218" w:lineRule="exact"/>
        <w:rPr>
          <w:sz w:val="20"/>
          <w:szCs w:val="20"/>
          <w:color w:val="auto"/>
        </w:rPr>
      </w:pPr>
    </w:p>
    <w:p>
      <w:pPr>
        <w:jc w:val="both"/>
        <w:ind w:firstLine="720"/>
        <w:spacing w:after="0" w:line="242" w:lineRule="auto"/>
        <w:tabs>
          <w:tab w:leader="none" w:pos="110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submit and file for and on behalf of the undersigned a Form ID, including any amendments thereto, and any other related documents or action necessary or appropriate, including acting as an account administrator, to obtain or update from the Electronic Gathering and Retrieval System of the United States Securities and Exchange Commission (“SEC”), the codes, numbers and passphrases enabling the undersigned to make electronic filings with the SEC;</w:t>
      </w:r>
    </w:p>
    <w:p>
      <w:pPr>
        <w:spacing w:after="0" w:line="229" w:lineRule="exact"/>
        <w:rPr>
          <w:rFonts w:ascii="Times New Roman" w:cs="Times New Roman" w:eastAsia="Times New Roman" w:hAnsi="Times New Roman"/>
          <w:sz w:val="24"/>
          <w:szCs w:val="24"/>
          <w:color w:val="auto"/>
        </w:rPr>
      </w:pPr>
    </w:p>
    <w:p>
      <w:pPr>
        <w:jc w:val="both"/>
        <w:ind w:firstLine="720"/>
        <w:spacing w:after="0" w:line="250" w:lineRule="auto"/>
        <w:tabs>
          <w:tab w:leader="none" w:pos="110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Coherent Corp. (the “Company”) Forms 3, 4 and 5 in accordance with Section 16(a) of the Securities Exchange Act of 1934, as amended, and rules thereunder;</w:t>
      </w:r>
    </w:p>
    <w:p>
      <w:pPr>
        <w:spacing w:after="0" w:line="218" w:lineRule="exact"/>
        <w:rPr>
          <w:rFonts w:ascii="Times New Roman" w:cs="Times New Roman" w:eastAsia="Times New Roman" w:hAnsi="Times New Roman"/>
          <w:sz w:val="24"/>
          <w:szCs w:val="24"/>
          <w:color w:val="auto"/>
        </w:rPr>
      </w:pPr>
    </w:p>
    <w:p>
      <w:pPr>
        <w:jc w:val="both"/>
        <w:ind w:firstLine="720"/>
        <w:spacing w:after="0" w:line="250" w:lineRule="auto"/>
        <w:tabs>
          <w:tab w:leader="none" w:pos="11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submit and file for and on behalf of the undersigned, Forms 144, and any amendments thereto, in accordance with Rule 144 of the Securities Act of 1933, as amended, and the rules thereunder;</w:t>
      </w:r>
    </w:p>
    <w:p>
      <w:pPr>
        <w:spacing w:after="0" w:line="218" w:lineRule="exact"/>
        <w:rPr>
          <w:rFonts w:ascii="Times New Roman" w:cs="Times New Roman" w:eastAsia="Times New Roman" w:hAnsi="Times New Roman"/>
          <w:sz w:val="24"/>
          <w:szCs w:val="24"/>
          <w:color w:val="auto"/>
        </w:rPr>
      </w:pPr>
    </w:p>
    <w:p>
      <w:pPr>
        <w:ind w:right="160" w:firstLine="720"/>
        <w:spacing w:after="0" w:line="242" w:lineRule="auto"/>
        <w:tabs>
          <w:tab w:leader="none" w:pos="10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and execute for and on behalf of the undersigned reports of ownership on Schedule 13D or 13G under the Securities Exchange Act of 1934 and the rules thereunder, including any joint filing agreement thereunder, and do and perform any and all acts for and on behalf of the undersigned which may be necessary or desirable to complete and execute any such reports or schedules, and complete and execute any amendment or amendments thereto;</w:t>
      </w:r>
    </w:p>
    <w:p>
      <w:pPr>
        <w:spacing w:after="0" w:line="229" w:lineRule="exact"/>
        <w:rPr>
          <w:rFonts w:ascii="Times New Roman" w:cs="Times New Roman" w:eastAsia="Times New Roman" w:hAnsi="Times New Roman"/>
          <w:sz w:val="24"/>
          <w:szCs w:val="24"/>
          <w:color w:val="auto"/>
        </w:rPr>
      </w:pPr>
    </w:p>
    <w:p>
      <w:pPr>
        <w:jc w:val="both"/>
        <w:ind w:firstLine="720"/>
        <w:spacing w:after="0" w:line="245" w:lineRule="auto"/>
        <w:tabs>
          <w:tab w:leader="none" w:pos="1094"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or execute any such Form ID, Form 3, 4, 5 or 144, Schedule 13D or 13G, any amendments thereto and other related documents, and the timely file such forms, amendments thereto or other related documents with the SEC and any stock exchange or similar authority;</w:t>
      </w:r>
    </w:p>
    <w:p>
      <w:pPr>
        <w:spacing w:after="0" w:line="223" w:lineRule="exact"/>
        <w:rPr>
          <w:rFonts w:ascii="Times New Roman" w:cs="Times New Roman" w:eastAsia="Times New Roman" w:hAnsi="Times New Roman"/>
          <w:sz w:val="24"/>
          <w:szCs w:val="24"/>
          <w:color w:val="auto"/>
        </w:rPr>
      </w:pPr>
    </w:p>
    <w:p>
      <w:pPr>
        <w:jc w:val="both"/>
        <w:ind w:firstLine="720"/>
        <w:spacing w:after="0" w:line="242" w:lineRule="auto"/>
        <w:tabs>
          <w:tab w:leader="none" w:pos="106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any such attorney-in-fact, may be of benefit to, in the best interest of, or legally required by, the undersigned, it being understood that the documents executed by any such attorney-in-fact on behalf of the undersigned pursuant to this Power of Attorney shall be in such form an shall contain such terms and conditions as such attorney-in-fact may approve in any such attorney-in-fact’s discretion; and</w:t>
      </w:r>
    </w:p>
    <w:p>
      <w:pPr>
        <w:spacing w:after="0" w:line="229" w:lineRule="exact"/>
        <w:rPr>
          <w:rFonts w:ascii="Times New Roman" w:cs="Times New Roman" w:eastAsia="Times New Roman" w:hAnsi="Times New Roman"/>
          <w:sz w:val="24"/>
          <w:szCs w:val="24"/>
          <w:color w:val="auto"/>
        </w:rPr>
      </w:pPr>
    </w:p>
    <w:p>
      <w:pPr>
        <w:jc w:val="both"/>
        <w:ind w:firstLine="720"/>
        <w:spacing w:after="0" w:line="241" w:lineRule="auto"/>
        <w:tabs>
          <w:tab w:leader="none" w:pos="106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28"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such attorney-in-fact’s substitute or substitutes, shall lawfully do or cause to be done by virtue of this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8" w:lineRule="exact"/>
        <w:rPr>
          <w:sz w:val="20"/>
          <w:szCs w:val="20"/>
          <w:color w:val="auto"/>
        </w:rPr>
      </w:pPr>
    </w:p>
    <w:p>
      <w:pPr>
        <w:ind w:right="740"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5 or 144 or Schedules 13D or 13G with respect to the undersigned’s holdings of and transactions in securities issued by the Company or (b) revocation by the undersigned in a signed writing.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to Follow</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252730</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May 26,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By:/s/ Jeffrey B.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15240</wp:posOffset>
            </wp:positionV>
            <wp:extent cx="65278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27800" cy="19050"/>
                    </a:xfrm>
                    <a:prstGeom prst="rect">
                      <a:avLst/>
                    </a:prstGeom>
                    <a:noFill/>
                  </pic:spPr>
                </pic:pic>
              </a:graphicData>
            </a:graphic>
          </wp:anchor>
        </w:drawing>
      </w: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Name: Jeffrey B. Place</w:t>
      </w:r>
    </w:p>
    <w:p>
      <w:pPr>
        <w:spacing w:after="0" w:line="2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Title: Chief Supply</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Chain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Power of Attorney</w:t>
      </w:r>
      <w:r>
        <w:rPr>
          <w:rFonts w:ascii="Times New Roman" w:cs="Times New Roman" w:eastAsia="Times New Roman" w:hAnsi="Times New Roman"/>
          <w:sz w:val="18"/>
          <w:szCs w:val="18"/>
          <w:color w:val="auto"/>
        </w:rPr>
        <w:t>]</w:t>
      </w:r>
    </w:p>
    <w:sectPr>
      <w:pgSz w:w="11900" w:h="16838" w:orient="portrait"/>
      <w:cols w:equalWidth="0" w:num="1">
        <w:col w:w="10940"/>
      </w:cols>
      <w:pgMar w:left="480" w:top="3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138361" TargetMode="External"/><Relationship Id="rId11" Type="http://schemas.openxmlformats.org/officeDocument/2006/relationships/hyperlink" Target="http://www.sec.gov/cgi-bin/browse-edgar?action=getcompany&amp;CIK=0000820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2026-06-05T16:16:59Z</dcterms:created>
  <dcterms:modified xsi:type="dcterms:W3CDTF">2026-06-05T16:16:59Z</dcterms:modified>
</cp:coreProperties>
</file>