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4288d9_defa14a.htm"/>
      <w:bookmarkStart w:id="1" w:name="kstm264288d9_defa14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45"/>
        <w:gridCol w:w="8165"/>
      </w:tblGrid>
      <w:tr>
        <w:trPr/>
        <w:tc>
          <w:tcPr>
            <w:tcW w:w="245"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left"/>
              <w:rPr>
                <w:b/>
              </w:rPr>
            </w:pPr>
            <w:r>
              <w:rPr>
                <w:b/>
              </w:rPr>
              <w:t xml:space="preserve">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245"/>
        <w:gridCol w:w="3635"/>
      </w:tblGrid>
      <w:tr>
        <w:trPr/>
        <w:tc>
          <w:tcPr>
            <w:tcW w:w="24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pPr>
            <w:r>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COHERENT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pBdr>
          <w:top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pP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3063" w:type="dxa"/>
        <w:jc w:val="center"/>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Smartphone users Point your camera here and vote without entering a control number Your Vote Counts! For complete information and to vote, visit www.ProxyVote.com Control # T04185-P57365 Vote Virtually at the Meeting* November 18, 2026 12:00 p.m. Eastern Standard Time / 9:00 a.m. Pacific Standard Time Virtually at: www.virtualshareholdermeeting.com/COHR2026 *Please check the meeting materials for any special requirements for meeting attendance. COHERENT CORP. 2026 Annual Meeting Vote by November 17, 2026 11:59 PM ET You invested in COHERENT CORP. and it’s time to vote! You have the right to vote on proposals being presented at the Annual Meeting. This is an important notice regarding the availability of proxy materials for the shareholder meeting to be held on November 18, 2026. Get informed before you vote View the Notice and Proxy Statement and Annual Report to Shareholders online OR you can receive a free paper or email copy of the material(s) by requesting prior to November 4,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Vote at www.ProxyVote.com T04186-P57365 Voting Items Board Recommends COHERENT CORP. 2026 Annual Meeting Vote by November 17, 2026 11:59 PM ET THIS IS NOT A VOTABLE BALLOT This is an overview of the proposals being presented at the upcoming shareholder meeting. Please follow the instructions on the reverse side to vote these important matters. 1. Election of the Class Three Directors nominated by the Board of Directors for a three-year term to expire at the annual meeting of shareholders in 2029. Nominees: 1a. Joseph J. Corasanti For 1b. Patricia Hatter For 1c. Stephen A. Skaggs For 1d. Sandeep Vij For 2. Non-binding advisory vote to approve compensation paid to named executive officers in fiscal year 2026. For 3. Ratification of the Audit Committee’s selection of Ernst &amp; Young LLP as the Company’s Independent registered public accounting firm for the fiscal year ending June 30, 2027. For NOTE: Such other business as may properly come before the meeting or any adjournment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510</Words>
  <Characters>2722</Characters>
  <CharactersWithSpaces>3236</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