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3.jpeg" ContentType="image/jpeg"/>
  <Override PartName="/word/media/image22.jpeg" ContentType="image/jpeg"/>
  <Override PartName="/word/media/image21.jpeg" ContentType="image/jpeg"/>
  <Override PartName="/word/media/image20.jpeg" ContentType="image/jpeg"/>
  <Override PartName="/word/media/image19.jpeg" ContentType="image/jpeg"/>
  <Override PartName="/word/media/image2.gif" ContentType="image/gif"/>
  <Override PartName="/word/media/image17.jpeg" ContentType="image/jpeg"/>
  <Override PartName="/word/media/image5.jpeg" ContentType="image/jpeg"/>
  <Override PartName="/word/media/image32.jpeg" ContentType="image/jpeg"/>
  <Override PartName="/word/media/image26.jpeg" ContentType="image/jpeg"/>
  <Override PartName="/word/media/image10.jpeg" ContentType="image/jpeg"/>
  <Override PartName="/word/media/image29.jpeg" ContentType="image/jpeg"/>
  <Override PartName="/word/media/image35.jpeg" ContentType="image/jpeg"/>
  <Override PartName="/word/media/image27.jpeg" ContentType="image/jpeg"/>
  <Override PartName="/word/media/image6.jpeg" ContentType="image/jpeg"/>
  <Override PartName="/word/media/image33.jpeg" ContentType="image/jpeg"/>
  <Override PartName="/word/media/image13.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4.jpeg" ContentType="image/jpeg"/>
  <Override PartName="/word/media/image7.jpeg" ContentType="image/jpeg"/>
  <Override PartName="/word/media/image28.jpeg" ContentType="image/jpeg"/>
  <Override PartName="/word/media/image36.jpeg" ContentType="image/jpeg"/>
  <Override PartName="/word/media/image8.gif" ContentType="image/gif"/>
  <Override PartName="/word/media/image18.jpeg" ContentType="image/jpeg"/>
  <Override PartName="/word/media/image3.jpeg" ContentType="image/jpeg"/>
  <Override PartName="/word/media/image37.jpeg" ContentType="image/jpeg"/>
  <Override PartName="/word/media/image12.jpeg" ContentType="image/jpeg"/>
  <Override PartName="/word/media/image11.jpeg" ContentType="image/jpeg"/>
  <Override PartName="/word/media/image1.gif" ContentType="image/gif"/>
  <Override PartName="/word/media/image14.jpeg" ContentType="image/jpeg"/>
  <Override PartName="/word/media/image15.jpeg" ContentType="image/jpeg"/>
  <Override PartName="/word/media/image16.jpeg" ContentType="image/jpeg"/>
  <Override PartName="/word/media/image9.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80" w:before="0" w:after="0"/>
        <w:ind w:left="0" w:right="0" w:hanging="0"/>
        <w:jc w:val="left"/>
        <w:rPr/>
      </w:pPr>
      <w:hyperlink w:anchor="TOC">
        <w:bookmarkStart w:id="0" w:name="tm264288-6_def14a.htm"/>
        <w:bookmarkStart w:id="1" w:name="kstm2642886_def14a"/>
        <w:bookmarkEnd w:id="0"/>
        <w:bookmarkEnd w:id="1"/>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r>
        <mc:AlternateContent>
          <mc:Choice Requires="wps">
            <w:drawing>
              <wp:anchor behindDoc="0" distT="0" distB="0" distL="0" distR="0" simplePos="0" locked="0" layoutInCell="1" allowOverlap="1" relativeHeight="227">
                <wp:simplePos x="0" y="0"/>
                <wp:positionH relativeFrom="page">
                  <wp:posOffset>541655</wp:posOffset>
                </wp:positionH>
                <wp:positionV relativeFrom="page">
                  <wp:posOffset>9459595</wp:posOffset>
                </wp:positionV>
                <wp:extent cx="2133600" cy="168910"/>
                <wp:effectExtent l="0" t="0" r="0" b="0"/>
                <wp:wrapNone/>
                <wp:docPr id="1" name="Frame15"/>
                <a:graphic xmlns:a="http://schemas.openxmlformats.org/drawingml/2006/main">
                  <a:graphicData uri="http://schemas.microsoft.com/office/word/2010/wordprocessingShape">
                    <wps:wsp>
                      <wps:cNvSpPr txBox="1"/>
                      <wps:spPr>
                        <a:xfrm>
                          <a:off x="0" y="0"/>
                          <a:ext cx="2133600" cy="168910"/>
                        </a:xfrm>
                        <a:prstGeom prst="rect"/>
                        <a:solidFill>
                          <a:srgbClr val="FFFFFF"/>
                        </a:solidFill>
                      </wps:spPr>
                      <wps:txbx>
                        <w:txbxContent>
                          <w:p>
                            <w:pPr>
                              <w:pStyle w:val="TextBody"/>
                              <w:bidi w:val="0"/>
                              <w:spacing w:lineRule="atLeast" w:line="260" w:before="0" w:after="0"/>
                              <w:jc w:val="left"/>
                              <w:rPr>
                                <w:rFonts w:ascii="Tahoma;Geneva;sans-serif" w:hAnsi="Tahoma;Geneva;sans-serif"/>
                                <w:b/>
                                <w:color w:val="FFFFFF"/>
                                <w:sz w:val="22"/>
                              </w:rPr>
                            </w:pPr>
                            <w:r>
                              <w:rPr>
                                <w:rFonts w:ascii="Tahoma;Geneva;sans-serif" w:hAnsi="Tahoma;Geneva;sans-serif"/>
                                <w:b/>
                                <w:color w:val="FFFFFF"/>
                                <w:sz w:val="22"/>
                              </w:rPr>
                              <w:t>4   </w:t>
                            </w:r>
                            <w:r>
                              <w:rPr>
                                <w:rFonts w:ascii="Tahoma;Geneva;sans-serif" w:hAnsi="Tahoma;Geneva;sans-serif"/>
                                <w:b/>
                                <w:color w:val="FFFFFF"/>
                                <w:sz w:val="14"/>
                              </w:rPr>
                              <w:t>|</w:t>
                            </w:r>
                            <w:r>
                              <w:rPr>
                                <w:rFonts w:ascii="Tahoma;Geneva;sans-serif" w:hAnsi="Tahoma;Geneva;sans-serif"/>
                                <w:b/>
                                <w:color w:val="FFFFFF"/>
                                <w:sz w:val="22"/>
                              </w:rPr>
                              <w:t>   </w:t>
                            </w:r>
                            <w:r>
                              <w:rPr>
                                <w:rFonts w:ascii="Tahoma;Geneva;sans-serif" w:hAnsi="Tahoma;Geneva;sans-serif"/>
                                <w:b/>
                                <w:color w:val="FFFFFF"/>
                                <w:sz w:val="16"/>
                              </w:rPr>
                              <w:t>COHERENT PROXY STATEMENT 2026</w:t>
                            </w:r>
                          </w:p>
                        </w:txbxContent>
                      </wps:txbx>
                      <wps:bodyPr anchor="t" lIns="0" tIns="0" rIns="0" bIns="0">
                        <a:noAutofit/>
                      </wps:bodyPr>
                    </wps:wsp>
                  </a:graphicData>
                </a:graphic>
              </wp:anchor>
            </w:drawing>
          </mc:Choice>
          <mc:Fallback>
            <w:pict>
              <v:rect style="position:absolute;rotation:-0;width:168pt;height:13.3pt;mso-wrap-distance-left:0pt;mso-wrap-distance-right:0pt;mso-wrap-distance-top:0pt;mso-wrap-distance-bottom:0pt;margin-top:744.85pt;mso-position-vertical-relative:page;margin-left:42.65pt;mso-position-horizontal-relative:page">
                <v:textbox>
                  <w:txbxContent>
                    <w:p>
                      <w:pPr>
                        <w:pStyle w:val="TextBody"/>
                        <w:bidi w:val="0"/>
                        <w:spacing w:lineRule="atLeast" w:line="260" w:before="0" w:after="0"/>
                        <w:jc w:val="left"/>
                        <w:rPr>
                          <w:rFonts w:ascii="Tahoma;Geneva;sans-serif" w:hAnsi="Tahoma;Geneva;sans-serif"/>
                          <w:b/>
                          <w:color w:val="FFFFFF"/>
                          <w:sz w:val="22"/>
                        </w:rPr>
                      </w:pPr>
                      <w:r>
                        <w:rPr>
                          <w:rFonts w:ascii="Tahoma;Geneva;sans-serif" w:hAnsi="Tahoma;Geneva;sans-serif"/>
                          <w:b/>
                          <w:color w:val="FFFFFF"/>
                          <w:sz w:val="22"/>
                        </w:rPr>
                        <w:t>4   </w:t>
                      </w:r>
                      <w:r>
                        <w:rPr>
                          <w:rFonts w:ascii="Tahoma;Geneva;sans-serif" w:hAnsi="Tahoma;Geneva;sans-serif"/>
                          <w:b/>
                          <w:color w:val="FFFFFF"/>
                          <w:sz w:val="14"/>
                        </w:rPr>
                        <w:t>|</w:t>
                      </w:r>
                      <w:r>
                        <w:rPr>
                          <w:rFonts w:ascii="Tahoma;Geneva;sans-serif" w:hAnsi="Tahoma;Geneva;sans-serif"/>
                          <w:b/>
                          <w:color w:val="FFFFFF"/>
                          <w:sz w:val="22"/>
                        </w:rPr>
                        <w:t>   </w:t>
                      </w:r>
                      <w:r>
                        <w:rPr>
                          <w:rFonts w:ascii="Tahoma;Geneva;sans-serif" w:hAnsi="Tahoma;Geneva;sans-serif"/>
                          <w:b/>
                          <w:color w:val="FFFFFF"/>
                          <w:sz w:val="16"/>
                        </w:rPr>
                        <w:t>COHERENT PROXY STATEMENT 2026</w:t>
                      </w:r>
                    </w:p>
                  </w:txbxContent>
                </v:textbox>
                <w10:wrap type="none"/>
              </v:rect>
            </w:pict>
          </mc:Fallback>
        </mc:AlternateContent>
      </w:r>
      <w:r>
        <mc:AlternateContent>
          <mc:Choice Requires="wps">
            <w:drawing>
              <wp:anchor behindDoc="0" distT="0" distB="0" distL="0" distR="0" simplePos="0" locked="0" layoutInCell="1" allowOverlap="1" relativeHeight="147">
                <wp:simplePos x="0" y="0"/>
                <wp:positionH relativeFrom="page">
                  <wp:posOffset>2565400</wp:posOffset>
                </wp:positionH>
                <wp:positionV relativeFrom="page">
                  <wp:posOffset>683895</wp:posOffset>
                </wp:positionV>
                <wp:extent cx="4546600" cy="8509000"/>
                <wp:effectExtent l="0" t="0" r="0" b="0"/>
                <wp:wrapNone/>
                <wp:docPr id="2" name="Frame14"/>
                <a:graphic xmlns:a="http://schemas.openxmlformats.org/drawingml/2006/main">
                  <a:graphicData uri="http://schemas.microsoft.com/office/word/2010/wordprocessingShape">
                    <wps:wsp>
                      <wps:cNvSpPr txBox="1"/>
                      <wps:spPr>
                        <a:xfrm>
                          <a:off x="0" y="0"/>
                          <a:ext cx="4546600" cy="8509000"/>
                        </a:xfrm>
                        <a:prstGeom prst="rect"/>
                        <a:solidFill>
                          <a:srgbClr val="FFFFFF"/>
                        </a:solidFill>
                      </wps:spPr>
                      <wps:txbx>
                        <w:txbxContent>
                          <w:p>
                            <w:pPr>
                              <w:pStyle w:val="TextBody"/>
                              <w:bidi w:val="0"/>
                              <w:spacing w:lineRule="atLeast" w:line="640" w:before="0" w:after="283"/>
                              <w:ind w:left="840" w:right="40" w:hanging="0"/>
                              <w:jc w:val="left"/>
                              <w:rPr>
                                <w:rFonts w:ascii="Tahoma;Geneva;sans-serif" w:hAnsi="Tahoma;Geneva;sans-serif"/>
                                <w:b/>
                                <w:color w:val="0068C7"/>
                                <w:sz w:val="60"/>
                              </w:rPr>
                            </w:pPr>
                            <w:r>
                              <w:rPr>
                                <w:rFonts w:ascii="Tahoma;Geneva;sans-serif" w:hAnsi="Tahoma;Geneva;sans-serif"/>
                                <w:b/>
                                <w:color w:val="0068C7"/>
                                <w:sz w:val="60"/>
                              </w:rPr>
                              <w:t>PROXY HIGHLIGHTS</w:t>
                            </w:r>
                            <w:r>
                              <w:rPr>
                                <w:rFonts w:ascii="Tahoma;Geneva;sans-serif" w:hAnsi="Tahoma;Geneva;sans-serif"/>
                                <w:b/>
                                <w:color w:val="000000"/>
                                <w:spacing w:val="12"/>
                                <w:sz w:val="60"/>
                              </w:rPr>
                              <w:t xml:space="preserve"> </w:t>
                            </w:r>
                          </w:p>
                          <w:p>
                            <w:pPr>
                              <w:pStyle w:val="TextBody"/>
                              <w:bidi w:val="0"/>
                              <w:spacing w:lineRule="atLeast" w:line="480" w:before="374" w:after="283"/>
                              <w:ind w:left="840" w:right="40" w:hanging="0"/>
                              <w:jc w:val="left"/>
                              <w:rPr>
                                <w:rFonts w:ascii="Tahoma;Geneva;sans-serif" w:hAnsi="Tahoma;Geneva;sans-serif"/>
                                <w:b/>
                                <w:sz w:val="44"/>
                              </w:rPr>
                            </w:pPr>
                            <w:r>
                              <w:rPr>
                                <w:rFonts w:ascii="Tahoma;Geneva;sans-serif" w:hAnsi="Tahoma;Geneva;sans-serif"/>
                                <w:b/>
                                <w:sz w:val="44"/>
                              </w:rPr>
                              <w:t>ABOUT COHERENT CORP.​</w:t>
                            </w:r>
                            <w:r>
                              <w:rPr>
                                <w:rFonts w:ascii="Tahoma;Geneva;sans-serif" w:hAnsi="Tahoma;Geneva;sans-serif"/>
                                <w:b/>
                                <w:spacing w:val="8"/>
                                <w:sz w:val="44"/>
                              </w:rPr>
                              <w:t xml:space="preserve"> </w:t>
                            </w:r>
                          </w:p>
                          <w:p>
                            <w:pPr>
                              <w:pStyle w:val="TextBody"/>
                              <w:bidi w:val="0"/>
                              <w:spacing w:lineRule="atLeast" w:line="260" w:before="260" w:after="283"/>
                              <w:ind w:left="840" w:right="40" w:hanging="0"/>
                              <w:jc w:val="left"/>
                              <w:rPr>
                                <w:sz w:val="20"/>
                              </w:rPr>
                            </w:pPr>
                            <w:r>
                              <w:rPr>
                                <w:spacing w:val="-2"/>
                                <w:sz w:val="20"/>
                              </w:rPr>
                              <w:t>Coherent is the global photonics leader with a broad photonic technology platform. Industry leaders in the datacenter, communications and industrial markets rely on Coherent’s world-leading technology to fuel their own innovation and growth.</w:t>
                            </w:r>
                            <w:r>
                              <w:rPr>
                                <w:sz w:val="20"/>
                              </w:rPr>
                              <w:t>​</w:t>
                            </w:r>
                            <w:r>
                              <w:rPr>
                                <w:spacing w:val="4"/>
                                <w:sz w:val="20"/>
                              </w:rPr>
                              <w:t xml:space="preserve"> </w:t>
                            </w:r>
                          </w:p>
                          <w:p>
                            <w:pPr>
                              <w:pStyle w:val="TextBody"/>
                              <w:bidi w:val="0"/>
                              <w:spacing w:lineRule="atLeast" w:line="260" w:before="80" w:after="283"/>
                              <w:ind w:left="840" w:right="40" w:hanging="0"/>
                              <w:jc w:val="left"/>
                              <w:rPr>
                                <w:sz w:val="20"/>
                              </w:rPr>
                            </w:pPr>
                            <w:r>
                              <w:rPr>
                                <w:spacing w:val="-2"/>
                                <w:sz w:val="20"/>
                              </w:rPr>
                              <w:t>Coherent is at the center of an extraordinary expansion in optical networking infrastructure, driven by the rapid growth of AI, the transition from copper to optical connectivity, and the increasing need for bandwidth and efficiency across increasingly complex datacenter architectures.</w:t>
                            </w:r>
                            <w:r>
                              <w:rPr>
                                <w:sz w:val="20"/>
                              </w:rPr>
                              <w:t>​</w:t>
                            </w:r>
                            <w:r>
                              <w:rPr>
                                <w:spacing w:val="4"/>
                                <w:sz w:val="20"/>
                              </w:rPr>
                              <w:t xml:space="preserve"> </w:t>
                            </w:r>
                          </w:p>
                          <w:tbl>
                            <w:tblPr>
                              <w:tblW w:w="10125" w:type="dxa"/>
                              <w:jc w:val="left"/>
                              <w:tblInd w:w="40" w:type="dxa"/>
                              <w:tblLayout w:type="fixed"/>
                              <w:tblCellMar>
                                <w:top w:w="0" w:type="dxa"/>
                                <w:left w:w="0" w:type="dxa"/>
                                <w:bottom w:w="0" w:type="dxa"/>
                                <w:right w:w="0" w:type="dxa"/>
                              </w:tblCellMar>
                            </w:tblPr>
                            <w:tblGrid>
                              <w:gridCol w:w="124"/>
                              <w:gridCol w:w="2160"/>
                              <w:gridCol w:w="109"/>
                              <w:gridCol w:w="109"/>
                              <w:gridCol w:w="7468"/>
                              <w:gridCol w:w="155"/>
                            </w:tblGrid>
                            <w:tr>
                              <w:trPr/>
                              <w:tc>
                                <w:tcPr>
                                  <w:tcW w:w="124" w:type="dxa"/>
                                  <w:tcBorders/>
                                  <w:shd w:fill="E5E5E5" w:val="clear"/>
                                  <w:vAlign w:val="center"/>
                                </w:tcPr>
                                <w:p>
                                  <w:pPr>
                                    <w:pStyle w:val="TableContents"/>
                                    <w:bidi w:val="0"/>
                                    <w:spacing w:before="0" w:after="283"/>
                                    <w:jc w:val="left"/>
                                    <w:rPr/>
                                  </w:pPr>
                                  <w:r>
                                    <w:rPr/>
                                    <w:t>​</w:t>
                                  </w:r>
                                </w:p>
                              </w:tc>
                              <w:tc>
                                <w:tcPr>
                                  <w:tcW w:w="9846" w:type="dxa"/>
                                  <w:gridSpan w:val="4"/>
                                  <w:tcBorders/>
                                  <w:shd w:fill="E5E5E5" w:val="clear"/>
                                  <w:vAlign w:val="center"/>
                                </w:tcPr>
                                <w:p>
                                  <w:pPr>
                                    <w:pStyle w:val="TableContents"/>
                                    <w:bidi w:val="0"/>
                                    <w:spacing w:lineRule="atLeast" w:line="470" w:before="0" w:after="0"/>
                                    <w:ind w:left="800" w:right="0" w:hanging="0"/>
                                    <w:jc w:val="left"/>
                                    <w:rPr/>
                                  </w:pPr>
                                  <w:r>
                                    <w:rPr/>
                                    <w:t>INDUSTRY LEADING SOLUTIONS​</w:t>
                                  </w:r>
                                </w:p>
                              </w:tc>
                              <w:tc>
                                <w:tcPr>
                                  <w:tcW w:w="155"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160" w:type="dxa"/>
                                  <w:tcBorders/>
                                  <w:shd w:fill="E5E5E5" w:val="clear"/>
                                  <w:vAlign w:val="center"/>
                                </w:tcPr>
                                <w:p>
                                  <w:pPr>
                                    <w:pStyle w:val="TableContents"/>
                                    <w:bidi w:val="0"/>
                                    <w:spacing w:before="0" w:after="0"/>
                                    <w:ind w:left="800" w:right="0" w:hanging="0"/>
                                    <w:jc w:val="left"/>
                                    <w:rPr/>
                                  </w:pPr>
                                  <w:r>
                                    <w:rPr/>
                                    <w:drawing>
                                      <wp:inline distT="0" distB="0" distL="0" distR="0">
                                        <wp:extent cx="1219200" cy="771525"/>
                                        <wp:effectExtent l="0" t="0" r="0" b="0"/>
                                        <wp:docPr id="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7" descr=""/>
                                                <pic:cNvPicPr>
                                                  <a:picLocks noChangeAspect="1" noChangeArrowheads="1"/>
                                                </pic:cNvPicPr>
                                              </pic:nvPicPr>
                                              <pic:blipFill>
                                                <a:blip r:embed="rId2"/>
                                                <a:stretch>
                                                  <a:fillRect/>
                                                </a:stretch>
                                              </pic:blipFill>
                                              <pic:spPr bwMode="auto">
                                                <a:xfrm>
                                                  <a:off x="0" y="0"/>
                                                  <a:ext cx="1219200" cy="771525"/>
                                                </a:xfrm>
                                                <a:prstGeom prst="rect">
                                                  <a:avLst/>
                                                </a:prstGeom>
                                              </pic:spPr>
                                            </pic:pic>
                                          </a:graphicData>
                                        </a:graphic>
                                      </wp:inline>
                                    </w:drawing>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7468" w:type="dxa"/>
                                  <w:tcBorders/>
                                  <w:shd w:fill="E5E5E5" w:val="clear"/>
                                  <w:vAlign w:val="center"/>
                                </w:tcPr>
                                <w:p>
                                  <w:pPr>
                                    <w:pStyle w:val="TableContents"/>
                                    <w:bidi w:val="0"/>
                                    <w:spacing w:lineRule="atLeast" w:line="280" w:before="0" w:after="0"/>
                                    <w:jc w:val="left"/>
                                    <w:rPr>
                                      <w:rFonts w:ascii="Tahoma;Geneva;sans-serif" w:hAnsi="Tahoma;Geneva;sans-serif"/>
                                      <w:b/>
                                      <w:sz w:val="28"/>
                                    </w:rPr>
                                  </w:pPr>
                                  <w:r>
                                    <w:rPr>
                                      <w:rFonts w:ascii="Tahoma;Geneva;sans-serif" w:hAnsi="Tahoma;Geneva;sans-serif"/>
                                      <w:b/>
                                      <w:sz w:val="28"/>
                                    </w:rPr>
                                    <w:t xml:space="preserve">DATACENTER &amp; </w:t>
                                    <w:br/>
                                    <w:t>COMMUNICATIONS</w:t>
                                  </w:r>
                                </w:p>
                                <w:p>
                                  <w:pPr>
                                    <w:pStyle w:val="TableContents"/>
                                    <w:bidi w:val="0"/>
                                    <w:spacing w:lineRule="atLeast" w:line="245" w:before="120" w:after="283"/>
                                    <w:jc w:val="left"/>
                                    <w:rPr>
                                      <w:spacing w:val="-1"/>
                                    </w:rPr>
                                  </w:pPr>
                                  <w:r>
                                    <w:rPr>
                                      <w:spacing w:val="-1"/>
                                    </w:rPr>
                                    <w:t xml:space="preserve">Enabling ultra-high speed data transmission with a broad portfolio of products for optical communications. </w:t>
                                  </w:r>
                                </w:p>
                              </w:tc>
                              <w:tc>
                                <w:tcPr>
                                  <w:tcW w:w="155"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160" w:type="dxa"/>
                                  <w:tcBorders/>
                                  <w:shd w:fill="E5E5E5" w:val="clear"/>
                                  <w:vAlign w:val="center"/>
                                </w:tcPr>
                                <w:p>
                                  <w:pPr>
                                    <w:pStyle w:val="TableContents"/>
                                    <w:bidi w:val="0"/>
                                    <w:spacing w:before="0" w:after="0"/>
                                    <w:ind w:left="800" w:right="0" w:hanging="0"/>
                                    <w:jc w:val="left"/>
                                    <w:rPr/>
                                  </w:pPr>
                                  <w:r>
                                    <w:rPr/>
                                    <w:drawing>
                                      <wp:inline distT="0" distB="0" distL="0" distR="0">
                                        <wp:extent cx="1295400" cy="828675"/>
                                        <wp:effectExtent l="0" t="0" r="0" b="0"/>
                                        <wp:docPr id="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8" descr=""/>
                                                <pic:cNvPicPr>
                                                  <a:picLocks noChangeAspect="1" noChangeArrowheads="1"/>
                                                </pic:cNvPicPr>
                                              </pic:nvPicPr>
                                              <pic:blipFill>
                                                <a:blip r:embed="rId3"/>
                                                <a:stretch>
                                                  <a:fillRect/>
                                                </a:stretch>
                                              </pic:blipFill>
                                              <pic:spPr bwMode="auto">
                                                <a:xfrm>
                                                  <a:off x="0" y="0"/>
                                                  <a:ext cx="1295400" cy="828675"/>
                                                </a:xfrm>
                                                <a:prstGeom prst="rect">
                                                  <a:avLst/>
                                                </a:prstGeom>
                                              </pic:spPr>
                                            </pic:pic>
                                          </a:graphicData>
                                        </a:graphic>
                                      </wp:inline>
                                    </w:drawing>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7468" w:type="dxa"/>
                                  <w:tcBorders/>
                                  <w:shd w:fill="E5E5E5" w:val="clear"/>
                                  <w:vAlign w:val="center"/>
                                </w:tcPr>
                                <w:p>
                                  <w:pPr>
                                    <w:pStyle w:val="TableContents"/>
                                    <w:bidi w:val="0"/>
                                    <w:spacing w:lineRule="atLeast" w:line="340" w:before="0" w:after="0"/>
                                    <w:jc w:val="left"/>
                                    <w:rPr>
                                      <w:rFonts w:ascii="Tahoma;Geneva;sans-serif" w:hAnsi="Tahoma;Geneva;sans-serif"/>
                                      <w:b/>
                                      <w:sz w:val="28"/>
                                    </w:rPr>
                                  </w:pPr>
                                  <w:r>
                                    <w:rPr>
                                      <w:rFonts w:ascii="Tahoma;Geneva;sans-serif" w:hAnsi="Tahoma;Geneva;sans-serif"/>
                                      <w:b/>
                                      <w:sz w:val="28"/>
                                    </w:rPr>
                                    <w:t>INDUSTRIAL​</w:t>
                                  </w:r>
                                </w:p>
                                <w:p>
                                  <w:pPr>
                                    <w:pStyle w:val="TableContents"/>
                                    <w:bidi w:val="0"/>
                                    <w:spacing w:lineRule="atLeast" w:line="245" w:before="120" w:after="283"/>
                                    <w:jc w:val="left"/>
                                    <w:rPr/>
                                  </w:pPr>
                                  <w:r>
                                    <w:rPr>
                                      <w:spacing w:val="-1"/>
                                    </w:rPr>
                                    <w:t>Lasers and optics products serving diverse industrial customers from semiconductor, automotive, and instrumentation</w:t>
                                  </w:r>
                                  <w:r>
                                    <w:rPr/>
                                    <w:t xml:space="preserve"> </w:t>
                                  </w:r>
                                </w:p>
                              </w:tc>
                              <w:tc>
                                <w:tcPr>
                                  <w:tcW w:w="155" w:type="dxa"/>
                                  <w:tcBorders/>
                                  <w:shd w:fill="E5E5E5" w:val="clear"/>
                                  <w:vAlign w:val="center"/>
                                </w:tcPr>
                                <w:p>
                                  <w:pPr>
                                    <w:pStyle w:val="TableContents"/>
                                    <w:bidi w:val="0"/>
                                    <w:spacing w:before="0" w:after="283"/>
                                    <w:jc w:val="left"/>
                                    <w:rPr/>
                                  </w:pPr>
                                  <w:r>
                                    <w:rPr/>
                                    <w:t>​</w:t>
                                  </w:r>
                                </w:p>
                              </w:tc>
                            </w:tr>
                          </w:tbl>
                          <w:p>
                            <w:pPr>
                              <w:pStyle w:val="TextBody"/>
                              <w:bidi w:val="0"/>
                              <w:spacing w:before="0" w:after="283"/>
                              <w:ind w:left="40" w:right="40" w:hanging="0"/>
                              <w:jc w:val="left"/>
                              <w:rPr/>
                            </w:pPr>
                            <w:r>
                              <w:rPr/>
                            </w:r>
                          </w:p>
                        </w:txbxContent>
                      </wps:txbx>
                      <wps:bodyPr anchor="t" lIns="0" tIns="0" rIns="0" bIns="0">
                        <a:noAutofit/>
                      </wps:bodyPr>
                    </wps:wsp>
                  </a:graphicData>
                </a:graphic>
              </wp:anchor>
            </w:drawing>
          </mc:Choice>
          <mc:Fallback>
            <w:pict>
              <v:rect style="position:absolute;rotation:-0;width:358pt;height:670pt;mso-wrap-distance-left:0pt;mso-wrap-distance-right:0pt;mso-wrap-distance-top:0pt;mso-wrap-distance-bottom:0pt;margin-top:53.85pt;mso-position-vertical-relative:page;margin-left:202pt;mso-position-horizontal-relative:page">
                <v:textbox>
                  <w:txbxContent>
                    <w:p>
                      <w:pPr>
                        <w:pStyle w:val="TextBody"/>
                        <w:bidi w:val="0"/>
                        <w:spacing w:lineRule="atLeast" w:line="640" w:before="0" w:after="283"/>
                        <w:ind w:left="840" w:right="40" w:hanging="0"/>
                        <w:jc w:val="left"/>
                        <w:rPr>
                          <w:rFonts w:ascii="Tahoma;Geneva;sans-serif" w:hAnsi="Tahoma;Geneva;sans-serif"/>
                          <w:b/>
                          <w:color w:val="0068C7"/>
                          <w:sz w:val="60"/>
                        </w:rPr>
                      </w:pPr>
                      <w:r>
                        <w:rPr>
                          <w:rFonts w:ascii="Tahoma;Geneva;sans-serif" w:hAnsi="Tahoma;Geneva;sans-serif"/>
                          <w:b/>
                          <w:color w:val="0068C7"/>
                          <w:sz w:val="60"/>
                        </w:rPr>
                        <w:t>PROXY HIGHLIGHTS</w:t>
                      </w:r>
                      <w:r>
                        <w:rPr>
                          <w:rFonts w:ascii="Tahoma;Geneva;sans-serif" w:hAnsi="Tahoma;Geneva;sans-serif"/>
                          <w:b/>
                          <w:color w:val="000000"/>
                          <w:spacing w:val="12"/>
                          <w:sz w:val="60"/>
                        </w:rPr>
                        <w:t xml:space="preserve"> </w:t>
                      </w:r>
                    </w:p>
                    <w:p>
                      <w:pPr>
                        <w:pStyle w:val="TextBody"/>
                        <w:bidi w:val="0"/>
                        <w:spacing w:lineRule="atLeast" w:line="480" w:before="374" w:after="283"/>
                        <w:ind w:left="840" w:right="40" w:hanging="0"/>
                        <w:jc w:val="left"/>
                        <w:rPr>
                          <w:rFonts w:ascii="Tahoma;Geneva;sans-serif" w:hAnsi="Tahoma;Geneva;sans-serif"/>
                          <w:b/>
                          <w:sz w:val="44"/>
                        </w:rPr>
                      </w:pPr>
                      <w:r>
                        <w:rPr>
                          <w:rFonts w:ascii="Tahoma;Geneva;sans-serif" w:hAnsi="Tahoma;Geneva;sans-serif"/>
                          <w:b/>
                          <w:sz w:val="44"/>
                        </w:rPr>
                        <w:t>ABOUT COHERENT CORP.​</w:t>
                      </w:r>
                      <w:r>
                        <w:rPr>
                          <w:rFonts w:ascii="Tahoma;Geneva;sans-serif" w:hAnsi="Tahoma;Geneva;sans-serif"/>
                          <w:b/>
                          <w:spacing w:val="8"/>
                          <w:sz w:val="44"/>
                        </w:rPr>
                        <w:t xml:space="preserve"> </w:t>
                      </w:r>
                    </w:p>
                    <w:p>
                      <w:pPr>
                        <w:pStyle w:val="TextBody"/>
                        <w:bidi w:val="0"/>
                        <w:spacing w:lineRule="atLeast" w:line="260" w:before="260" w:after="283"/>
                        <w:ind w:left="840" w:right="40" w:hanging="0"/>
                        <w:jc w:val="left"/>
                        <w:rPr>
                          <w:sz w:val="20"/>
                        </w:rPr>
                      </w:pPr>
                      <w:r>
                        <w:rPr>
                          <w:spacing w:val="-2"/>
                          <w:sz w:val="20"/>
                        </w:rPr>
                        <w:t>Coherent is the global photonics leader with a broad photonic technology platform. Industry leaders in the datacenter, communications and industrial markets rely on Coherent’s world-leading technology to fuel their own innovation and growth.</w:t>
                      </w:r>
                      <w:r>
                        <w:rPr>
                          <w:sz w:val="20"/>
                        </w:rPr>
                        <w:t>​</w:t>
                      </w:r>
                      <w:r>
                        <w:rPr>
                          <w:spacing w:val="4"/>
                          <w:sz w:val="20"/>
                        </w:rPr>
                        <w:t xml:space="preserve"> </w:t>
                      </w:r>
                    </w:p>
                    <w:p>
                      <w:pPr>
                        <w:pStyle w:val="TextBody"/>
                        <w:bidi w:val="0"/>
                        <w:spacing w:lineRule="atLeast" w:line="260" w:before="80" w:after="283"/>
                        <w:ind w:left="840" w:right="40" w:hanging="0"/>
                        <w:jc w:val="left"/>
                        <w:rPr>
                          <w:sz w:val="20"/>
                        </w:rPr>
                      </w:pPr>
                      <w:r>
                        <w:rPr>
                          <w:spacing w:val="-2"/>
                          <w:sz w:val="20"/>
                        </w:rPr>
                        <w:t>Coherent is at the center of an extraordinary expansion in optical networking infrastructure, driven by the rapid growth of AI, the transition from copper to optical connectivity, and the increasing need for bandwidth and efficiency across increasingly complex datacenter architectures.</w:t>
                      </w:r>
                      <w:r>
                        <w:rPr>
                          <w:sz w:val="20"/>
                        </w:rPr>
                        <w:t>​</w:t>
                      </w:r>
                      <w:r>
                        <w:rPr>
                          <w:spacing w:val="4"/>
                          <w:sz w:val="20"/>
                        </w:rPr>
                        <w:t xml:space="preserve"> </w:t>
                      </w:r>
                    </w:p>
                    <w:tbl>
                      <w:tblPr>
                        <w:tblW w:w="10125" w:type="dxa"/>
                        <w:jc w:val="left"/>
                        <w:tblInd w:w="40" w:type="dxa"/>
                        <w:tblLayout w:type="fixed"/>
                        <w:tblCellMar>
                          <w:top w:w="0" w:type="dxa"/>
                          <w:left w:w="0" w:type="dxa"/>
                          <w:bottom w:w="0" w:type="dxa"/>
                          <w:right w:w="0" w:type="dxa"/>
                        </w:tblCellMar>
                      </w:tblPr>
                      <w:tblGrid>
                        <w:gridCol w:w="124"/>
                        <w:gridCol w:w="2160"/>
                        <w:gridCol w:w="109"/>
                        <w:gridCol w:w="109"/>
                        <w:gridCol w:w="7468"/>
                        <w:gridCol w:w="155"/>
                      </w:tblGrid>
                      <w:tr>
                        <w:trPr/>
                        <w:tc>
                          <w:tcPr>
                            <w:tcW w:w="124" w:type="dxa"/>
                            <w:tcBorders/>
                            <w:shd w:fill="E5E5E5" w:val="clear"/>
                            <w:vAlign w:val="center"/>
                          </w:tcPr>
                          <w:p>
                            <w:pPr>
                              <w:pStyle w:val="TableContents"/>
                              <w:bidi w:val="0"/>
                              <w:spacing w:before="0" w:after="283"/>
                              <w:jc w:val="left"/>
                              <w:rPr/>
                            </w:pPr>
                            <w:r>
                              <w:rPr/>
                              <w:t>​</w:t>
                            </w:r>
                          </w:p>
                        </w:tc>
                        <w:tc>
                          <w:tcPr>
                            <w:tcW w:w="9846" w:type="dxa"/>
                            <w:gridSpan w:val="4"/>
                            <w:tcBorders/>
                            <w:shd w:fill="E5E5E5" w:val="clear"/>
                            <w:vAlign w:val="center"/>
                          </w:tcPr>
                          <w:p>
                            <w:pPr>
                              <w:pStyle w:val="TableContents"/>
                              <w:bidi w:val="0"/>
                              <w:spacing w:lineRule="atLeast" w:line="470" w:before="0" w:after="0"/>
                              <w:ind w:left="800" w:right="0" w:hanging="0"/>
                              <w:jc w:val="left"/>
                              <w:rPr/>
                            </w:pPr>
                            <w:r>
                              <w:rPr/>
                              <w:t>INDUSTRY LEADING SOLUTIONS​</w:t>
                            </w:r>
                          </w:p>
                        </w:tc>
                        <w:tc>
                          <w:tcPr>
                            <w:tcW w:w="155"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160" w:type="dxa"/>
                            <w:tcBorders/>
                            <w:shd w:fill="E5E5E5" w:val="clear"/>
                            <w:vAlign w:val="center"/>
                          </w:tcPr>
                          <w:p>
                            <w:pPr>
                              <w:pStyle w:val="TableContents"/>
                              <w:bidi w:val="0"/>
                              <w:spacing w:before="0" w:after="0"/>
                              <w:ind w:left="800" w:right="0" w:hanging="0"/>
                              <w:jc w:val="left"/>
                              <w:rPr/>
                            </w:pPr>
                            <w:r>
                              <w:rPr/>
                              <w:drawing>
                                <wp:inline distT="0" distB="0" distL="0" distR="0">
                                  <wp:extent cx="1219200" cy="771525"/>
                                  <wp:effectExtent l="0" t="0" r="0" b="0"/>
                                  <wp:docPr id="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7" descr=""/>
                                          <pic:cNvPicPr>
                                            <a:picLocks noChangeAspect="1" noChangeArrowheads="1"/>
                                          </pic:cNvPicPr>
                                        </pic:nvPicPr>
                                        <pic:blipFill>
                                          <a:blip r:embed="rId4"/>
                                          <a:stretch>
                                            <a:fillRect/>
                                          </a:stretch>
                                        </pic:blipFill>
                                        <pic:spPr bwMode="auto">
                                          <a:xfrm>
                                            <a:off x="0" y="0"/>
                                            <a:ext cx="1219200" cy="771525"/>
                                          </a:xfrm>
                                          <a:prstGeom prst="rect">
                                            <a:avLst/>
                                          </a:prstGeom>
                                        </pic:spPr>
                                      </pic:pic>
                                    </a:graphicData>
                                  </a:graphic>
                                </wp:inline>
                              </w:drawing>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7468" w:type="dxa"/>
                            <w:tcBorders/>
                            <w:shd w:fill="E5E5E5" w:val="clear"/>
                            <w:vAlign w:val="center"/>
                          </w:tcPr>
                          <w:p>
                            <w:pPr>
                              <w:pStyle w:val="TableContents"/>
                              <w:bidi w:val="0"/>
                              <w:spacing w:lineRule="atLeast" w:line="280" w:before="0" w:after="0"/>
                              <w:jc w:val="left"/>
                              <w:rPr>
                                <w:rFonts w:ascii="Tahoma;Geneva;sans-serif" w:hAnsi="Tahoma;Geneva;sans-serif"/>
                                <w:b/>
                                <w:sz w:val="28"/>
                              </w:rPr>
                            </w:pPr>
                            <w:r>
                              <w:rPr>
                                <w:rFonts w:ascii="Tahoma;Geneva;sans-serif" w:hAnsi="Tahoma;Geneva;sans-serif"/>
                                <w:b/>
                                <w:sz w:val="28"/>
                              </w:rPr>
                              <w:t xml:space="preserve">DATACENTER &amp; </w:t>
                              <w:br/>
                              <w:t>COMMUNICATIONS</w:t>
                            </w:r>
                          </w:p>
                          <w:p>
                            <w:pPr>
                              <w:pStyle w:val="TableContents"/>
                              <w:bidi w:val="0"/>
                              <w:spacing w:lineRule="atLeast" w:line="245" w:before="120" w:after="283"/>
                              <w:jc w:val="left"/>
                              <w:rPr>
                                <w:spacing w:val="-1"/>
                              </w:rPr>
                            </w:pPr>
                            <w:r>
                              <w:rPr>
                                <w:spacing w:val="-1"/>
                              </w:rPr>
                              <w:t xml:space="preserve">Enabling ultra-high speed data transmission with a broad portfolio of products for optical communications. </w:t>
                            </w:r>
                          </w:p>
                        </w:tc>
                        <w:tc>
                          <w:tcPr>
                            <w:tcW w:w="155"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160" w:type="dxa"/>
                            <w:tcBorders/>
                            <w:shd w:fill="E5E5E5" w:val="clear"/>
                            <w:vAlign w:val="center"/>
                          </w:tcPr>
                          <w:p>
                            <w:pPr>
                              <w:pStyle w:val="TableContents"/>
                              <w:bidi w:val="0"/>
                              <w:spacing w:before="0" w:after="0"/>
                              <w:ind w:left="800" w:right="0" w:hanging="0"/>
                              <w:jc w:val="left"/>
                              <w:rPr/>
                            </w:pPr>
                            <w:r>
                              <w:rPr/>
                              <w:drawing>
                                <wp:inline distT="0" distB="0" distL="0" distR="0">
                                  <wp:extent cx="1295400" cy="828675"/>
                                  <wp:effectExtent l="0" t="0" r="0" b="0"/>
                                  <wp:docPr id="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8" descr=""/>
                                          <pic:cNvPicPr>
                                            <a:picLocks noChangeAspect="1" noChangeArrowheads="1"/>
                                          </pic:cNvPicPr>
                                        </pic:nvPicPr>
                                        <pic:blipFill>
                                          <a:blip r:embed="rId5"/>
                                          <a:stretch>
                                            <a:fillRect/>
                                          </a:stretch>
                                        </pic:blipFill>
                                        <pic:spPr bwMode="auto">
                                          <a:xfrm>
                                            <a:off x="0" y="0"/>
                                            <a:ext cx="1295400" cy="828675"/>
                                          </a:xfrm>
                                          <a:prstGeom prst="rect">
                                            <a:avLst/>
                                          </a:prstGeom>
                                        </pic:spPr>
                                      </pic:pic>
                                    </a:graphicData>
                                  </a:graphic>
                                </wp:inline>
                              </w:drawing>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7468" w:type="dxa"/>
                            <w:tcBorders/>
                            <w:shd w:fill="E5E5E5" w:val="clear"/>
                            <w:vAlign w:val="center"/>
                          </w:tcPr>
                          <w:p>
                            <w:pPr>
                              <w:pStyle w:val="TableContents"/>
                              <w:bidi w:val="0"/>
                              <w:spacing w:lineRule="atLeast" w:line="340" w:before="0" w:after="0"/>
                              <w:jc w:val="left"/>
                              <w:rPr>
                                <w:rFonts w:ascii="Tahoma;Geneva;sans-serif" w:hAnsi="Tahoma;Geneva;sans-serif"/>
                                <w:b/>
                                <w:sz w:val="28"/>
                              </w:rPr>
                            </w:pPr>
                            <w:r>
                              <w:rPr>
                                <w:rFonts w:ascii="Tahoma;Geneva;sans-serif" w:hAnsi="Tahoma;Geneva;sans-serif"/>
                                <w:b/>
                                <w:sz w:val="28"/>
                              </w:rPr>
                              <w:t>INDUSTRIAL​</w:t>
                            </w:r>
                          </w:p>
                          <w:p>
                            <w:pPr>
                              <w:pStyle w:val="TableContents"/>
                              <w:bidi w:val="0"/>
                              <w:spacing w:lineRule="atLeast" w:line="245" w:before="120" w:after="283"/>
                              <w:jc w:val="left"/>
                              <w:rPr/>
                            </w:pPr>
                            <w:r>
                              <w:rPr>
                                <w:spacing w:val="-1"/>
                              </w:rPr>
                              <w:t>Lasers and optics products serving diverse industrial customers from semiconductor, automotive, and instrumentation</w:t>
                            </w:r>
                            <w:r>
                              <w:rPr/>
                              <w:t xml:space="preserve"> </w:t>
                            </w:r>
                          </w:p>
                        </w:tc>
                        <w:tc>
                          <w:tcPr>
                            <w:tcW w:w="155" w:type="dxa"/>
                            <w:tcBorders/>
                            <w:shd w:fill="E5E5E5" w:val="clear"/>
                            <w:vAlign w:val="center"/>
                          </w:tcPr>
                          <w:p>
                            <w:pPr>
                              <w:pStyle w:val="TableContents"/>
                              <w:bidi w:val="0"/>
                              <w:spacing w:before="0" w:after="283"/>
                              <w:jc w:val="left"/>
                              <w:rPr/>
                            </w:pPr>
                            <w:r>
                              <w:rPr/>
                              <w:t>​</w:t>
                            </w:r>
                          </w:p>
                        </w:tc>
                      </w:tr>
                    </w:tbl>
                    <w:p>
                      <w:pPr>
                        <w:pStyle w:val="TextBody"/>
                        <w:bidi w:val="0"/>
                        <w:spacing w:before="0" w:after="283"/>
                        <w:ind w:left="40" w:right="40" w:hanging="0"/>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0">
                <wp:simplePos x="0" y="0"/>
                <wp:positionH relativeFrom="page">
                  <wp:posOffset>-228600</wp:posOffset>
                </wp:positionH>
                <wp:positionV relativeFrom="page">
                  <wp:posOffset>-228600</wp:posOffset>
                </wp:positionV>
                <wp:extent cx="7560310" cy="10310495"/>
                <wp:effectExtent l="0" t="0" r="0" b="0"/>
                <wp:wrapNone/>
                <wp:docPr id="7" name="Frame13"/>
                <a:graphic xmlns:a="http://schemas.openxmlformats.org/drawingml/2006/main">
                  <a:graphicData uri="http://schemas.microsoft.com/office/word/2010/wordprocessingShape">
                    <wps:wsp>
                      <wps:cNvSpPr txBox="1"/>
                      <wps:spPr>
                        <a:xfrm>
                          <a:off x="0" y="0"/>
                          <a:ext cx="7560310" cy="10310495"/>
                        </a:xfrm>
                        <a:prstGeom prst="rect"/>
                        <a:solidFill>
                          <a:srgbClr val="FFFFFF"/>
                        </a:solidFill>
                      </wps:spPr>
                      <wps:txbx>
                        <w:txbxContent>
                          <w:p>
                            <w:pPr>
                              <w:pStyle w:val="TextBody"/>
                              <w:bidi w:val="0"/>
                              <w:spacing w:before="0" w:after="0"/>
                              <w:jc w:val="left"/>
                              <w:rPr/>
                            </w:pPr>
                            <w:r>
                              <w:rPr/>
                              <w:drawing>
                                <wp:inline distT="0" distB="0" distL="0" distR="0">
                                  <wp:extent cx="2771775" cy="1027747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6"/>
                                          <a:stretch>
                                            <a:fillRect/>
                                          </a:stretch>
                                        </pic:blipFill>
                                        <pic:spPr bwMode="auto">
                                          <a:xfrm>
                                            <a:off x="0" y="0"/>
                                            <a:ext cx="2771775" cy="102774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595.3pt;height:811.85pt;mso-wrap-distance-left:0pt;mso-wrap-distance-right:0pt;mso-wrap-distance-top:0pt;mso-wrap-distance-bottom:0pt;margin-top:-18pt;mso-position-vertical-relative:page;margin-left:-18pt;mso-position-horizontal-relative:page">
                <v:textbox>
                  <w:txbxContent>
                    <w:p>
                      <w:pPr>
                        <w:pStyle w:val="TextBody"/>
                        <w:bidi w:val="0"/>
                        <w:spacing w:before="0" w:after="0"/>
                        <w:jc w:val="left"/>
                        <w:rPr/>
                      </w:pPr>
                      <w:r>
                        <w:rPr/>
                        <w:drawing>
                          <wp:inline distT="0" distB="0" distL="0" distR="0">
                            <wp:extent cx="2771775" cy="1027747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2771775" cy="10277475"/>
                                    </a:xfrm>
                                    <a:prstGeom prst="rect">
                                      <a:avLst/>
                                    </a:prstGeom>
                                  </pic:spPr>
                                </pic:pic>
                              </a:graphicData>
                            </a:graphic>
                          </wp:inline>
                        </w:drawing>
                      </w:r>
                      <w:r>
                        <w:rPr/>
                        <w:t xml:space="preserve"> </w:t>
                      </w:r>
                    </w:p>
                  </w:txbxContent>
                </v:textbox>
                <w10:wrap type="none"/>
              </v:rect>
            </w:pict>
          </mc:Fallback>
        </mc:AlternateContent>
      </w:r>
    </w:p>
    <w:p>
      <w:pPr>
        <w:pStyle w:val="TextBody"/>
        <w:bidi w:val="0"/>
        <w:spacing w:lineRule="atLeast" w:line="350" w:before="717" w:after="283"/>
        <w:ind w:left="1433" w:right="40" w:hanging="0"/>
        <w:jc w:val="center"/>
        <w:rPr>
          <w:rFonts w:ascii="Arial;Helvetica;sans-serif" w:hAnsi="Arial;Helvetica;sans-serif"/>
          <w:b/>
          <w:i w:val="false"/>
          <w:caps w:val="false"/>
          <w:smallCaps w:val="false"/>
          <w:color w:val="000000"/>
          <w:spacing w:val="-4"/>
          <w:sz w:val="28"/>
          <w:shd w:fill="FFFFFF" w:val="clear"/>
        </w:rPr>
      </w:pPr>
      <w:r>
        <w:rPr>
          <w:rFonts w:ascii="Arial;Helvetica;sans-serif" w:hAnsi="Arial;Helvetica;sans-serif"/>
          <w:b/>
          <w:i w:val="false"/>
          <w:caps w:val="false"/>
          <w:smallCaps w:val="false"/>
          <w:color w:val="000000"/>
          <w:spacing w:val="-4"/>
          <w:sz w:val="28"/>
          <w:shd w:fill="FFFFFF" w:val="clear"/>
        </w:rPr>
        <w:t xml:space="preserve">UNITED STATES </w:t>
        <w:br/>
        <w:t xml:space="preserve">SECURITIES AND EXCHANGE COMMISSION </w:t>
      </w:r>
    </w:p>
    <w:p>
      <w:pPr>
        <w:pStyle w:val="TextBody"/>
        <w:bidi w:val="0"/>
        <w:spacing w:lineRule="atLeast" w:line="270" w:before="70" w:after="283"/>
        <w:jc w:val="center"/>
        <w:rPr>
          <w:rFonts w:ascii="Arial;Helvetica;sans-serif" w:hAnsi="Arial;Helvetica;sans-serif"/>
          <w:b/>
          <w:i w:val="false"/>
          <w:caps w:val="false"/>
          <w:smallCaps w:val="false"/>
          <w:color w:val="000000"/>
          <w:sz w:val="20"/>
          <w:shd w:fill="FFFFFF" w:val="clear"/>
        </w:rPr>
      </w:pPr>
      <w:r>
        <w:rPr>
          <w:rFonts w:ascii="Arial;Helvetica;sans-serif" w:hAnsi="Arial;Helvetica;sans-serif"/>
          <w:b/>
          <w:i w:val="false"/>
          <w:caps w:val="false"/>
          <w:smallCaps w:val="false"/>
          <w:color w:val="000000"/>
          <w:spacing w:val="0"/>
          <w:sz w:val="20"/>
          <w:shd w:fill="FFFFFF" w:val="clear"/>
        </w:rPr>
        <w:t>Washington, D.C. 20549</w:t>
      </w:r>
      <w:r>
        <w:rPr>
          <w:rFonts w:ascii="Arial;Helvetica;sans-serif" w:hAnsi="Arial;Helvetica;sans-serif"/>
          <w:b/>
          <w:i w:val="false"/>
          <w:caps w:val="false"/>
          <w:smallCaps w:val="false"/>
          <w:color w:val="000000"/>
          <w:sz w:val="20"/>
          <w:shd w:fill="FFFFFF" w:val="clear"/>
        </w:rPr>
        <w:t>​</w:t>
      </w:r>
      <w:r>
        <w:rPr>
          <w:rFonts w:ascii="Arial;Helvetica;sans-serif" w:hAnsi="Arial;Helvetica;sans-serif"/>
          <w:b/>
          <w:i w:val="false"/>
          <w:caps w:val="false"/>
          <w:smallCaps w:val="false"/>
          <w:color w:val="000000"/>
          <w:spacing w:val="6"/>
          <w:sz w:val="20"/>
          <w:shd w:fill="FFFFFF" w:val="clear"/>
        </w:rPr>
        <w:t xml:space="preserve"> </w:t>
      </w:r>
    </w:p>
    <w:p>
      <w:pPr>
        <w:pStyle w:val="TextBody"/>
        <w:bidi w:val="0"/>
        <w:spacing w:lineRule="atLeast" w:line="350" w:before="160" w:after="283"/>
        <w:jc w:val="center"/>
        <w:rPr>
          <w:rFonts w:ascii="Arial;Helvetica;sans-serif" w:hAnsi="Arial;Helvetica;sans-serif"/>
          <w:b/>
          <w:i w:val="false"/>
          <w:caps w:val="false"/>
          <w:smallCaps w:val="false"/>
          <w:color w:val="000000"/>
          <w:sz w:val="28"/>
          <w:shd w:fill="FFFFFF" w:val="clear"/>
        </w:rPr>
      </w:pPr>
      <w:r>
        <w:rPr>
          <w:rFonts w:ascii="Arial;Helvetica;sans-serif" w:hAnsi="Arial;Helvetica;sans-serif"/>
          <w:b/>
          <w:i w:val="false"/>
          <w:caps w:val="false"/>
          <w:smallCaps w:val="false"/>
          <w:color w:val="000000"/>
          <w:spacing w:val="-4"/>
          <w:sz w:val="28"/>
          <w:shd w:fill="FFFFFF" w:val="clear"/>
        </w:rPr>
        <w:t>SCHEDULE 14A</w:t>
      </w:r>
      <w:r>
        <w:rPr>
          <w:rFonts w:ascii="Arial;Helvetica;sans-serif" w:hAnsi="Arial;Helvetica;sans-serif"/>
          <w:b/>
          <w:i w:val="false"/>
          <w:caps w:val="false"/>
          <w:smallCaps w:val="false"/>
          <w:color w:val="000000"/>
          <w:spacing w:val="6"/>
          <w:sz w:val="28"/>
          <w:shd w:fill="FFFFFF" w:val="clear"/>
        </w:rPr>
        <w:t xml:space="preserve"> </w:t>
      </w:r>
    </w:p>
    <w:p>
      <w:pPr>
        <w:pStyle w:val="TextBody"/>
        <w:bidi w:val="0"/>
        <w:spacing w:lineRule="atLeast" w:line="250" w:before="80" w:after="283"/>
        <w:jc w:val="center"/>
        <w:rPr>
          <w:rFonts w:ascii="Arial;Helvetica;sans-serif" w:hAnsi="Arial;Helvetica;sans-serif"/>
          <w:b/>
          <w:i w:val="false"/>
          <w:caps w:val="false"/>
          <w:smallCaps w:val="false"/>
          <w:color w:val="000000"/>
          <w:sz w:val="19"/>
          <w:shd w:fill="FFFFFF" w:val="clear"/>
        </w:rPr>
      </w:pPr>
      <w:r>
        <w:rPr>
          <w:rFonts w:ascii="Arial;Helvetica;sans-serif" w:hAnsi="Arial;Helvetica;sans-serif"/>
          <w:b/>
          <w:i w:val="false"/>
          <w:caps w:val="false"/>
          <w:smallCaps w:val="false"/>
          <w:color w:val="000000"/>
          <w:spacing w:val="0"/>
          <w:sz w:val="19"/>
          <w:shd w:fill="FFFFFF" w:val="clear"/>
        </w:rPr>
        <w:t xml:space="preserve">Proxy Statement Pursuant to Section 14(a) of </w:t>
        <w:br/>
        <w:t>the Securities Exchange Act of 1934 (Amendment No.   )</w:t>
      </w:r>
      <w:r>
        <w:rPr>
          <w:rFonts w:ascii="Arial;Helvetica;sans-serif" w:hAnsi="Arial;Helvetica;sans-serif"/>
          <w:b/>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Filed by the Registrant    ☒</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Filed by a Party other than the Registrant    ☐</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Check the appropriate box:</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5" w:before="180" w:after="0"/>
        <w:ind w:left="18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Preliminary Proxy Statement</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0" distR="0" simplePos="0" locked="0" layoutInCell="1" allowOverlap="1" relativeHeight="228">
                <wp:simplePos x="0" y="0"/>
                <wp:positionH relativeFrom="column">
                  <wp:align>left</wp:align>
                </wp:positionH>
                <wp:positionV relativeFrom="line">
                  <wp:align>top</wp:align>
                </wp:positionV>
                <wp:extent cx="241300" cy="350520"/>
                <wp:effectExtent l="0" t="0" r="0" b="0"/>
                <wp:wrapSquare wrapText="right"/>
                <wp:docPr id="10" name="Frame1"/>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9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80" w:after="0"/>
        <w:ind w:left="18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i w:val="false"/>
          <w:caps w:val="false"/>
          <w:smallCaps w:val="false"/>
          <w:color w:val="000000"/>
          <w:spacing w:val="0"/>
          <w:sz w:val="19"/>
          <w:shd w:fill="FFFFFF" w:val="clear"/>
        </w:rPr>
        <w:t>Confidential, for Use of the Commission Only (as permitted by Rule 14a-6(e)(2))</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0" distR="0" simplePos="0" locked="0" layoutInCell="1" allowOverlap="1" relativeHeight="229">
                <wp:simplePos x="0" y="0"/>
                <wp:positionH relativeFrom="column">
                  <wp:align>left</wp:align>
                </wp:positionH>
                <wp:positionV relativeFrom="line">
                  <wp:align>top</wp:align>
                </wp:positionV>
                <wp:extent cx="241300" cy="350520"/>
                <wp:effectExtent l="0" t="0" r="0" b="0"/>
                <wp:wrapSquare wrapText="right"/>
                <wp:docPr id="11" name="Frame2"/>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9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80" w:after="0"/>
        <w:ind w:left="18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Definitive Proxy Statement</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0" distR="0" simplePos="0" locked="0" layoutInCell="1" allowOverlap="1" relativeHeight="230">
                <wp:simplePos x="0" y="0"/>
                <wp:positionH relativeFrom="column">
                  <wp:align>left</wp:align>
                </wp:positionH>
                <wp:positionV relativeFrom="line">
                  <wp:align>top</wp:align>
                </wp:positionV>
                <wp:extent cx="241300" cy="350520"/>
                <wp:effectExtent l="0" t="0" r="0" b="0"/>
                <wp:wrapSquare wrapText="right"/>
                <wp:docPr id="12" name="Frame3"/>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9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80" w:after="0"/>
        <w:ind w:left="18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Definitive Additional Materials</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0" distR="0" simplePos="0" locked="0" layoutInCell="1" allowOverlap="1" relativeHeight="231">
                <wp:simplePos x="0" y="0"/>
                <wp:positionH relativeFrom="column">
                  <wp:align>left</wp:align>
                </wp:positionH>
                <wp:positionV relativeFrom="line">
                  <wp:align>top</wp:align>
                </wp:positionV>
                <wp:extent cx="241300" cy="350520"/>
                <wp:effectExtent l="0" t="0" r="0" b="0"/>
                <wp:wrapSquare wrapText="right"/>
                <wp:docPr id="13" name="Frame4"/>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9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80" w:after="0"/>
        <w:ind w:left="1813" w:right="40" w:hanging="0"/>
        <w:jc w:val="left"/>
        <w:rPr>
          <w:rFonts w:ascii="Arial;Helvetica;sans-serif" w:hAnsi="Arial;Helvetica;sans-serif"/>
          <w:b w:val="false"/>
          <w:i w:val="false"/>
          <w:caps w:val="false"/>
          <w:smallCaps w:val="false"/>
          <w:color w:val="000000"/>
          <w:spacing w:val="-1"/>
          <w:sz w:val="19"/>
          <w:shd w:fill="FFFFFF" w:val="clear"/>
        </w:rPr>
      </w:pPr>
      <w:r>
        <w:rPr>
          <w:rFonts w:ascii="Arial;Helvetica;sans-serif" w:hAnsi="Arial;Helvetica;sans-serif"/>
          <w:b w:val="false"/>
          <w:i w:val="false"/>
          <w:caps w:val="false"/>
          <w:smallCaps w:val="false"/>
          <w:color w:val="000000"/>
          <w:spacing w:val="-1"/>
          <w:sz w:val="19"/>
          <w:shd w:fill="FFFFFF" w:val="clear"/>
        </w:rPr>
        <w:t xml:space="preserve">Soliciting Material under §240.14a-12 </w:t>
      </w:r>
      <w:r>
        <mc:AlternateContent>
          <mc:Choice Requires="wps">
            <w:drawing>
              <wp:anchor behindDoc="0" distT="114300" distB="0" distL="0" distR="0" simplePos="0" locked="0" layoutInCell="1" allowOverlap="1" relativeHeight="232">
                <wp:simplePos x="0" y="0"/>
                <wp:positionH relativeFrom="column">
                  <wp:align>left</wp:align>
                </wp:positionH>
                <wp:positionV relativeFrom="line">
                  <wp:align>top</wp:align>
                </wp:positionV>
                <wp:extent cx="241300" cy="350520"/>
                <wp:effectExtent l="0" t="0" r="0" b="0"/>
                <wp:wrapSquare wrapText="right"/>
                <wp:docPr id="14" name="Frame5"/>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9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350" w:before="300" w:after="283"/>
        <w:jc w:val="center"/>
        <w:rPr>
          <w:rFonts w:ascii="Arial;Helvetica;sans-serif" w:hAnsi="Arial;Helvetica;sans-serif"/>
          <w:b/>
          <w:i w:val="false"/>
          <w:caps w:val="false"/>
          <w:smallCaps w:val="false"/>
          <w:color w:val="000000"/>
          <w:spacing w:val="-4"/>
          <w:sz w:val="28"/>
          <w:shd w:fill="FFFFFF" w:val="clear"/>
        </w:rPr>
      </w:pPr>
      <w:r>
        <w:rPr>
          <w:rFonts w:ascii="Arial;Helvetica;sans-serif" w:hAnsi="Arial;Helvetica;sans-serif"/>
          <w:b/>
          <w:i w:val="false"/>
          <w:caps w:val="false"/>
          <w:smallCaps w:val="false"/>
          <w:color w:val="000000"/>
          <w:spacing w:val="-4"/>
          <w:sz w:val="28"/>
          <w:shd w:fill="FFFFFF" w:val="clear"/>
        </w:rPr>
        <w:t xml:space="preserve">COHERENT CORP. </w:t>
      </w:r>
    </w:p>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30" w:before="90" w:after="283"/>
        <w:jc w:val="center"/>
        <w:rPr>
          <w:rFonts w:ascii="Arial;Helvetica;sans-serif" w:hAnsi="Arial;Helvetica;sans-serif"/>
          <w:b w:val="false"/>
          <w:i w:val="false"/>
          <w:caps w:val="false"/>
          <w:smallCaps w:val="false"/>
          <w:color w:val="000000"/>
          <w:sz w:val="16"/>
          <w:shd w:fill="FFFFFF" w:val="clear"/>
        </w:rPr>
      </w:pPr>
      <w:r>
        <w:rPr>
          <w:rFonts w:ascii="Arial;Helvetica;sans-serif" w:hAnsi="Arial;Helvetica;sans-serif"/>
          <w:b w:val="false"/>
          <w:i w:val="false"/>
          <w:caps w:val="false"/>
          <w:smallCaps w:val="false"/>
          <w:color w:val="000000"/>
          <w:spacing w:val="-1"/>
          <w:sz w:val="16"/>
          <w:shd w:fill="FFFFFF" w:val="clear"/>
        </w:rPr>
        <w:t>(Name of Registrant as Specified In Its Charter)</w:t>
      </w:r>
      <w:r>
        <w:rPr>
          <w:rFonts w:ascii="Arial;Helvetica;sans-serif" w:hAnsi="Arial;Helvetica;sans-serif"/>
          <w:b w:val="false"/>
          <w:i w:val="false"/>
          <w:caps w:val="false"/>
          <w:smallCaps w:val="false"/>
          <w:color w:val="000000"/>
          <w:sz w:val="16"/>
          <w:shd w:fill="FFFFFF" w:val="clear"/>
        </w:rPr>
        <w:t>​</w:t>
      </w:r>
      <w:r>
        <w:rPr>
          <w:rFonts w:ascii="Arial;Helvetica;sans-serif" w:hAnsi="Arial;Helvetica;sans-serif"/>
          <w:b w:val="false"/>
          <w:i w:val="false"/>
          <w:caps w:val="false"/>
          <w:smallCaps w:val="false"/>
          <w:color w:val="000000"/>
          <w:spacing w:val="6"/>
          <w:sz w:val="16"/>
          <w:shd w:fill="FFFFFF" w:val="clear"/>
        </w:rPr>
        <w:t xml:space="preserve"> </w:t>
      </w:r>
    </w:p>
    <w:p>
      <w:pPr>
        <w:pStyle w:val="TextBody"/>
        <w:bidi w:val="0"/>
        <w:spacing w:lineRule="atLeast" w:line="250" w:before="180" w:after="283"/>
        <w:jc w:val="center"/>
        <w:rPr>
          <w:caps w:val="false"/>
          <w:smallCaps w:val="false"/>
          <w:color w:val="000000"/>
          <w:spacing w:val="-1"/>
          <w:shd w:fill="FFFFFF" w:val="clear"/>
        </w:rPr>
      </w:pPr>
      <w:r>
        <w:rPr>
          <w:caps w:val="false"/>
          <w:smallCaps w:val="false"/>
          <w:color w:val="000000"/>
          <w:spacing w:val="-1"/>
          <w:shd w:fill="FFFFFF" w:val="clear"/>
        </w:rPr>
        <w:t xml:space="preserve">  </w:t>
      </w:r>
    </w:p>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30" w:before="75" w:after="283"/>
        <w:jc w:val="center"/>
        <w:rPr>
          <w:rFonts w:ascii="Arial;Helvetica;sans-serif" w:hAnsi="Arial;Helvetica;sans-serif"/>
          <w:b w:val="false"/>
          <w:i w:val="false"/>
          <w:caps w:val="false"/>
          <w:smallCaps w:val="false"/>
          <w:color w:val="000000"/>
          <w:sz w:val="16"/>
          <w:shd w:fill="FFFFFF" w:val="clear"/>
        </w:rPr>
      </w:pPr>
      <w:r>
        <w:rPr>
          <w:rFonts w:ascii="Arial;Helvetica;sans-serif" w:hAnsi="Arial;Helvetica;sans-serif"/>
          <w:b w:val="false"/>
          <w:i w:val="false"/>
          <w:caps w:val="false"/>
          <w:smallCaps w:val="false"/>
          <w:color w:val="000000"/>
          <w:spacing w:val="-1"/>
          <w:sz w:val="16"/>
          <w:shd w:fill="FFFFFF" w:val="clear"/>
        </w:rPr>
        <w:t>(Name of Person(s) Filing Proxy Statement, if other than the Registrant)</w:t>
      </w:r>
      <w:r>
        <w:rPr>
          <w:rFonts w:ascii="Arial;Helvetica;sans-serif" w:hAnsi="Arial;Helvetica;sans-serif"/>
          <w:b w:val="false"/>
          <w:i w:val="false"/>
          <w:caps w:val="false"/>
          <w:smallCaps w:val="false"/>
          <w:color w:val="000000"/>
          <w:sz w:val="16"/>
          <w:shd w:fill="FFFFFF" w:val="clear"/>
        </w:rPr>
        <w:t>​</w:t>
      </w:r>
      <w:r>
        <w:rPr>
          <w:rFonts w:ascii="Arial;Helvetica;sans-serif" w:hAnsi="Arial;Helvetica;sans-serif"/>
          <w:b w:val="false"/>
          <w:i w:val="false"/>
          <w:caps w:val="false"/>
          <w:smallCaps w:val="false"/>
          <w:color w:val="000000"/>
          <w:spacing w:val="4"/>
          <w:sz w:val="16"/>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Payment of Filing Fee (Check the appropriate box):</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5" w:before="180" w:after="0"/>
        <w:ind w:left="18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No fee required.</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0" distR="0" simplePos="0" locked="0" layoutInCell="1" allowOverlap="1" relativeHeight="233">
                <wp:simplePos x="0" y="0"/>
                <wp:positionH relativeFrom="column">
                  <wp:align>left</wp:align>
                </wp:positionH>
                <wp:positionV relativeFrom="line">
                  <wp:align>top</wp:align>
                </wp:positionV>
                <wp:extent cx="241300" cy="350520"/>
                <wp:effectExtent l="0" t="0" r="0" b="0"/>
                <wp:wrapSquare wrapText="right"/>
                <wp:docPr id="15" name="Frame6"/>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9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80" w:after="0"/>
        <w:ind w:left="18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Fee paid previously with preliminary materials.</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0" distR="0" simplePos="0" locked="0" layoutInCell="1" allowOverlap="1" relativeHeight="234">
                <wp:simplePos x="0" y="0"/>
                <wp:positionH relativeFrom="column">
                  <wp:align>left</wp:align>
                </wp:positionH>
                <wp:positionV relativeFrom="line">
                  <wp:align>top</wp:align>
                </wp:positionV>
                <wp:extent cx="241300" cy="350520"/>
                <wp:effectExtent l="0" t="0" r="0" b="0"/>
                <wp:wrapSquare wrapText="right"/>
                <wp:docPr id="16" name="Frame7"/>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9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80" w:after="0"/>
        <w:ind w:left="18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Fee computed on table in exhibit required by Item 25(b) per Exchange Act Rules 14a6(i)(1) and 0-11</w:t>
      </w:r>
      <w:r>
        <w:rPr>
          <w:rFonts w:ascii="Arial;Helvetica;sans-serif" w:hAnsi="Arial;Helvetica;sans-serif"/>
          <w:b w:val="false"/>
          <w:i w:val="false"/>
          <w:caps w:val="false"/>
          <w:smallCaps w:val="false"/>
          <w:color w:val="000000"/>
          <w:sz w:val="19"/>
          <w:shd w:fill="FFFFFF" w:val="clear"/>
        </w:rPr>
        <w:t xml:space="preserve"> </w:t>
      </w:r>
      <w:r>
        <mc:AlternateContent>
          <mc:Choice Requires="wps">
            <w:drawing>
              <wp:anchor behindDoc="0" distT="114300" distB="0" distL="0" distR="0" simplePos="0" locked="0" layoutInCell="1" allowOverlap="1" relativeHeight="235">
                <wp:simplePos x="0" y="0"/>
                <wp:positionH relativeFrom="column">
                  <wp:align>left</wp:align>
                </wp:positionH>
                <wp:positionV relativeFrom="line">
                  <wp:align>top</wp:align>
                </wp:positionV>
                <wp:extent cx="241300" cy="350520"/>
                <wp:effectExtent l="0" t="0" r="0" b="0"/>
                <wp:wrapSquare wrapText="right"/>
                <wp:docPr id="17" name="Frame8"/>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9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before="160" w:after="283"/>
        <w:ind w:left="0" w:right="40" w:hanging="0"/>
        <w:jc w:val="center"/>
        <w:rPr>
          <w:caps w:val="false"/>
          <w:smallCaps w:val="false"/>
          <w:color w:val="000000"/>
          <w:shd w:fill="FFFFFF" w:val="clear"/>
        </w:rPr>
      </w:pPr>
      <w:r>
        <w:rPr>
          <w:caps w:val="false"/>
          <w:smallCaps w:val="false"/>
          <w:color w:val="000000"/>
          <w:shd w:fill="FFFFFF" w:val="clear"/>
        </w:rPr>
        <w:drawing>
          <wp:inline distT="0" distB="0" distL="0" distR="0">
            <wp:extent cx="7924800" cy="10182225"/>
            <wp:effectExtent l="0" t="0" r="0" b="0"/>
            <wp:docPr id="1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 descr=""/>
                    <pic:cNvPicPr>
                      <a:picLocks noChangeAspect="1" noChangeArrowheads="1"/>
                    </pic:cNvPicPr>
                  </pic:nvPicPr>
                  <pic:blipFill>
                    <a:blip r:embed="rId8"/>
                    <a:stretch>
                      <a:fillRect/>
                    </a:stretch>
                  </pic:blipFill>
                  <pic:spPr bwMode="auto">
                    <a:xfrm>
                      <a:off x="0" y="0"/>
                      <a:ext cx="7924800" cy="10182225"/>
                    </a:xfrm>
                    <a:prstGeom prst="rect">
                      <a:avLst/>
                    </a:prstGeom>
                  </pic:spPr>
                </pic:pic>
              </a:graphicData>
            </a:graphic>
          </wp:inline>
        </w:drawing>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640" w:before="120" w:after="283"/>
        <w:ind w:left="893" w:right="40" w:hanging="0"/>
        <w:jc w:val="left"/>
        <w:rPr>
          <w:rFonts w:ascii="Tahoma;Geneva;sans-serif" w:hAnsi="Tahoma;Geneva;sans-serif"/>
          <w:b/>
          <w:i w:val="false"/>
          <w:caps w:val="false"/>
          <w:smallCaps w:val="false"/>
          <w:color w:val="0068C7"/>
          <w:sz w:val="60"/>
          <w:shd w:fill="FFFFFF" w:val="clear"/>
        </w:rPr>
      </w:pPr>
      <w:r>
        <w:rPr>
          <w:rFonts w:ascii="Tahoma;Geneva;sans-serif" w:hAnsi="Tahoma;Geneva;sans-serif"/>
          <w:b/>
          <w:i w:val="false"/>
          <w:caps/>
          <w:color w:val="0068C7"/>
          <w:sz w:val="60"/>
          <w:shd w:fill="FFFFFF" w:val="clear"/>
        </w:rPr>
        <w:t>LETTER FROM CHAIR OF THE BOARD</w:t>
      </w:r>
      <w:r>
        <w:rPr>
          <w:rFonts w:ascii="Tahoma;Geneva;sans-serif" w:hAnsi="Tahoma;Geneva;sans-serif"/>
          <w:b/>
          <w:i w:val="false"/>
          <w:caps w:val="false"/>
          <w:smallCaps w:val="false"/>
          <w:color w:val="000000"/>
          <w:spacing w:val="12"/>
          <w:sz w:val="60"/>
          <w:shd w:fill="FFFFFF" w:val="clear"/>
        </w:rPr>
        <w:t xml:space="preserve"> </w:t>
      </w:r>
    </w:p>
    <w:p>
      <w:pPr>
        <w:pStyle w:val="TextBody"/>
        <w:bidi w:val="0"/>
        <w:spacing w:lineRule="atLeast" w:line="250" w:before="160" w:after="283"/>
        <w:jc w:val="righ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October 9, 2026</w:t>
      </w:r>
      <w:r>
        <w:rPr>
          <w:rFonts w:ascii="Arial;Helvetica;sans-serif" w:hAnsi="Arial;Helvetica;sans-serif"/>
          <w:b w:val="false"/>
          <w:i w:val="false"/>
          <w:caps w:val="false"/>
          <w:smallCaps w:val="false"/>
          <w:color w:val="000000"/>
          <w:sz w:val="19"/>
          <w:shd w:fill="FFFFFF" w:val="clear"/>
        </w:rPr>
        <w:t>​</w:t>
      </w:r>
    </w:p>
    <w:p>
      <w:pPr>
        <w:pStyle w:val="TextBody"/>
        <w:bidi w:val="0"/>
        <w:spacing w:lineRule="atLeast" w:line="360" w:before="280" w:after="283"/>
        <w:jc w:val="left"/>
        <w:rPr>
          <w:rFonts w:ascii="Tahoma;Geneva;sans-serif" w:hAnsi="Tahoma;Geneva;sans-serif"/>
          <w:b/>
          <w:i w:val="false"/>
          <w:caps w:val="false"/>
          <w:smallCaps w:val="false"/>
          <w:color w:val="4C4C4C"/>
          <w:sz w:val="32"/>
          <w:shd w:fill="FFFFFF" w:val="clear"/>
        </w:rPr>
      </w:pPr>
      <w:r>
        <w:rPr>
          <w:rFonts w:ascii="Tahoma;Geneva;sans-serif" w:hAnsi="Tahoma;Geneva;sans-serif"/>
          <w:b/>
          <w:i w:val="false"/>
          <w:caps w:val="false"/>
          <w:smallCaps w:val="false"/>
          <w:color w:val="4C4C4C"/>
          <w:sz w:val="32"/>
          <w:shd w:fill="FFFFFF" w:val="clear"/>
        </w:rPr>
        <w:t>Dear Fellow Coherent Shareholders</w:t>
      </w:r>
      <w:r>
        <w:rPr>
          <w:rFonts w:ascii="Tahoma;Geneva;sans-serif" w:hAnsi="Tahoma;Geneva;sans-serif"/>
          <w:b/>
          <w:i w:val="false"/>
          <w:caps w:val="false"/>
          <w:smallCaps w:val="false"/>
          <w:color w:val="000000"/>
          <w:spacing w:val="6"/>
          <w:sz w:val="32"/>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Fiscal year 2026 was another exceptional year for Coherent, with record revenue and significant margin expansion. Coherent is playing an increasingly critical role in enabling industry leaders to advance the next generation of technology across datacenters, communications and advanced manufacturing. These achievements reflect the commitment of our global team and the progress we have made in building a foundation for Coherent’s next phase of accelerated growth and continued innovation.</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80" w:before="320" w:after="283"/>
        <w:jc w:val="left"/>
        <w:rPr>
          <w:rFonts w:ascii="Tahoma;Geneva;sans-serif" w:hAnsi="Tahoma;Geneva;sans-serif"/>
          <w:b/>
          <w:i w:val="false"/>
          <w:caps w:val="false"/>
          <w:smallCaps w:val="false"/>
          <w:color w:val="000000"/>
          <w:sz w:val="24"/>
          <w:shd w:fill="FFFFFF" w:val="clear"/>
        </w:rPr>
      </w:pPr>
      <w:r>
        <w:rPr>
          <w:rFonts w:ascii="Tahoma;Geneva;sans-serif" w:hAnsi="Tahoma;Geneva;sans-serif"/>
          <w:b/>
          <w:i w:val="false"/>
          <w:caps w:val="false"/>
          <w:smallCaps w:val="false"/>
          <w:color w:val="000000"/>
          <w:sz w:val="24"/>
          <w:shd w:fill="FFFFFF" w:val="clear"/>
        </w:rPr>
        <w:t>Extending Our Global Leadership in Photonics</w:t>
      </w:r>
      <w:r>
        <w:rPr>
          <w:rFonts w:ascii="Tahoma;Geneva;sans-serif" w:hAnsi="Tahoma;Geneva;sans-serif"/>
          <w:b/>
          <w:i w:val="false"/>
          <w:caps w:val="false"/>
          <w:smallCaps w:val="false"/>
          <w:color w:val="000000"/>
          <w:spacing w:val="5"/>
          <w:sz w:val="24"/>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By deliberately focusing our business, investments and capabilities on Coherent’s highest-growth opportunities, we have built a stronger, more profitable company with an enhanced ability to deliver shareholder value. Under the guidance of our world-class executive leadership team, we have advanced a broad photonics portfolio that is foundational to the performance, efficiency and scalability of AI datacenters. Our strong fiscal year 2026 results, including full-year revenue of $7.12 billion, up 22.5% from the prior year, demonstrate the strength of our strategy and the discipline of our execution.</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Building on strong growth in our Datacenter and Communications segment, we continued to invest in the partnerships, innovation and capacity needed to meet accelerating demand for our technologies. We recently signed a letter of intent to receive up to $50 million in direct funding under the CHIPS and Science Act to expand our 6-inch Indium Phosphide manufacturing facility in Sherman, Texas. This planned expansion would significantly increase domestic production of critical AI-enabling technologies and further strengthen our manufacturing capabilities.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80" w:before="320" w:after="283"/>
        <w:jc w:val="left"/>
        <w:rPr>
          <w:rFonts w:ascii="Tahoma;Geneva;sans-serif" w:hAnsi="Tahoma;Geneva;sans-serif"/>
          <w:b/>
          <w:i w:val="false"/>
          <w:caps w:val="false"/>
          <w:smallCaps w:val="false"/>
          <w:color w:val="000000"/>
          <w:sz w:val="24"/>
          <w:shd w:fill="FFFFFF" w:val="clear"/>
        </w:rPr>
      </w:pPr>
      <w:r>
        <w:rPr>
          <w:rFonts w:ascii="Tahoma;Geneva;sans-serif" w:hAnsi="Tahoma;Geneva;sans-serif"/>
          <w:b/>
          <w:i w:val="false"/>
          <w:caps w:val="false"/>
          <w:smallCaps w:val="false"/>
          <w:color w:val="000000"/>
          <w:sz w:val="24"/>
          <w:shd w:fill="FFFFFF" w:val="clear"/>
        </w:rPr>
        <w:t>Coherent’s Extraordinary Opportunity Ahead</w:t>
      </w:r>
      <w:r>
        <w:rPr>
          <w:rFonts w:ascii="Tahoma;Geneva;sans-serif" w:hAnsi="Tahoma;Geneva;sans-serif"/>
          <w:b/>
          <w:i w:val="false"/>
          <w:caps w:val="false"/>
          <w:smallCaps w:val="false"/>
          <w:color w:val="000000"/>
          <w:spacing w:val="5"/>
          <w:sz w:val="24"/>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Coherent’s Board is actively engaged in overseeing this important momentum in the Company’s growth strategy to ensure we capitalize on the technology opportunity ahead of us and deliver for shareholders. The current Board composition brings together leaders with critical expertise in technology, operations and the materials, semiconductor, networking and laser industries, providing the skills and perspective necessary to oversee Coherent’s evolving business priorities.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Our fiscal 2026 achievements set the stage for an even more exciting chapter for Coherent. We entered the fiscal year with exceptional customer demand, expanding production and multiple new growth platforms expected to ramp over the coming quarters, supported by a powerful combination of technology leadership and manufacturing scale.</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Coherent is helping shape the future of technology, and we are focused on translating this leadership into lasting value for our shareholders.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We are grateful for your continued investment and support.</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24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Sincerely,</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before="70" w:after="283"/>
        <w:jc w:val="left"/>
        <w:rPr>
          <w:caps w:val="false"/>
          <w:smallCaps w:val="false"/>
          <w:color w:val="000000"/>
          <w:shd w:fill="FFFFFF" w:val="clear"/>
        </w:rPr>
      </w:pPr>
      <w:r>
        <w:rPr>
          <w:caps w:val="false"/>
          <w:smallCaps w:val="false"/>
          <w:color w:val="000000"/>
          <w:shd w:fill="FFFFFF" w:val="clear"/>
        </w:rPr>
        <w:drawing>
          <wp:inline distT="0" distB="0" distL="0" distR="0">
            <wp:extent cx="561975" cy="466725"/>
            <wp:effectExtent l="0" t="0" r="0" b="0"/>
            <wp:docPr id="1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2" descr=""/>
                    <pic:cNvPicPr>
                      <a:picLocks noChangeAspect="1" noChangeArrowheads="1"/>
                    </pic:cNvPicPr>
                  </pic:nvPicPr>
                  <pic:blipFill>
                    <a:blip r:embed="rId9"/>
                    <a:stretch>
                      <a:fillRect/>
                    </a:stretch>
                  </pic:blipFill>
                  <pic:spPr bwMode="auto">
                    <a:xfrm>
                      <a:off x="0" y="0"/>
                      <a:ext cx="561975" cy="46672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50" w:before="315" w:after="283"/>
        <w:jc w:val="left"/>
        <w:rPr>
          <w:rFonts w:ascii="Arial;Helvetica;sans-serif" w:hAnsi="Arial;Helvetica;sans-serif"/>
          <w:b/>
          <w:i w:val="false"/>
          <w:caps w:val="false"/>
          <w:smallCaps w:val="false"/>
          <w:color w:val="000000"/>
          <w:sz w:val="19"/>
          <w:shd w:fill="FFFFFF" w:val="clear"/>
        </w:rPr>
      </w:pPr>
      <w:r>
        <w:rPr>
          <w:rFonts w:ascii="Arial;Helvetica;sans-serif" w:hAnsi="Arial;Helvetica;sans-serif"/>
          <w:b/>
          <w:i w:val="false"/>
          <w:caps w:val="false"/>
          <w:smallCaps w:val="false"/>
          <w:color w:val="000000"/>
          <w:spacing w:val="0"/>
          <w:sz w:val="19"/>
          <w:shd w:fill="FFFFFF" w:val="clear"/>
        </w:rPr>
        <w:t>Enrico DiGirolamo</w:t>
      </w:r>
      <w:r>
        <w:rPr>
          <w:rFonts w:ascii="Arial;Helvetica;sans-serif" w:hAnsi="Arial;Helvetica;sans-serif"/>
          <w:b/>
          <w:i w:val="false"/>
          <w:caps w:val="false"/>
          <w:smallCaps w:val="false"/>
          <w:color w:val="000000"/>
          <w:sz w:val="19"/>
          <w:shd w:fill="FFFFFF" w:val="clear"/>
        </w:rPr>
        <w:t xml:space="preserve"> </w:t>
        <w:br/>
      </w:r>
      <w:r>
        <w:rPr>
          <w:rFonts w:ascii="Arial;Helvetica;sans-serif" w:hAnsi="Arial;Helvetica;sans-serif"/>
          <w:b w:val="false"/>
          <w:i/>
          <w:caps w:val="false"/>
          <w:smallCaps w:val="false"/>
          <w:color w:val="000000"/>
          <w:sz w:val="19"/>
          <w:shd w:fill="FFFFFF" w:val="clear"/>
        </w:rPr>
        <w:t>Chair of the Coherent Corp. Board of Directors</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 w:name="tNOAM"/>
      <w:bookmarkEnd w:id="2"/>
      <w:r>
        <w:rPr>
          <w:rFonts w:ascii="calibri;arial;sans-serif" w:hAnsi="calibri;arial;sans-serif"/>
          <w:b w:val="false"/>
          <w:i w:val="false"/>
          <w:caps w:val="false"/>
          <w:smallCaps w:val="false"/>
          <w:sz w:val="18"/>
          <w:shd w:fill="E5E4E2" w:val="clear"/>
        </w:rPr>
        <w:t xml:space="preserve">​ </w:t>
      </w:r>
    </w:p>
    <w:tbl>
      <w:tblPr>
        <w:tblW w:w="2334" w:type="dxa"/>
        <w:jc w:val="left"/>
        <w:tblInd w:w="8453" w:type="dxa"/>
        <w:tblLayout w:type="fixed"/>
        <w:tblCellMar>
          <w:top w:w="0" w:type="dxa"/>
          <w:left w:w="0" w:type="dxa"/>
          <w:bottom w:w="0" w:type="dxa"/>
          <w:right w:w="0" w:type="dxa"/>
        </w:tblCellMar>
      </w:tblPr>
      <w:tblGrid>
        <w:gridCol w:w="124"/>
        <w:gridCol w:w="2056"/>
        <w:gridCol w:w="154"/>
      </w:tblGrid>
      <w:tr>
        <w:trPr/>
        <w:tc>
          <w:tcPr>
            <w:tcW w:w="124" w:type="dxa"/>
            <w:tcBorders/>
            <w:shd w:fill="0068C7" w:val="clear"/>
            <w:vAlign w:val="center"/>
          </w:tcPr>
          <w:p>
            <w:pPr>
              <w:pStyle w:val="TableContents"/>
              <w:bidi w:val="0"/>
              <w:spacing w:before="0" w:after="283"/>
              <w:jc w:val="left"/>
              <w:rPr/>
            </w:pPr>
            <w:r>
              <w:rPr/>
              <w:t>​</w:t>
            </w:r>
          </w:p>
        </w:tc>
        <w:tc>
          <w:tcPr>
            <w:tcW w:w="2056" w:type="dxa"/>
            <w:tcBorders/>
            <w:shd w:fill="0068C7" w:val="clear"/>
            <w:vAlign w:val="center"/>
          </w:tcPr>
          <w:p>
            <w:pPr>
              <w:pStyle w:val="TableContents"/>
              <w:bidi w:val="0"/>
              <w:spacing w:lineRule="atLeast" w:line="280" w:before="0" w:after="0"/>
              <w:jc w:val="left"/>
              <w:rPr/>
            </w:pPr>
            <w:r>
              <w:rPr/>
              <w:t>NOTICE OF ANNUAL MEETING OF SHAREHOLDERS</w:t>
            </w:r>
          </w:p>
          <w:p>
            <w:pPr>
              <w:pStyle w:val="TableContents"/>
              <w:bidi w:val="0"/>
              <w:spacing w:lineRule="atLeast" w:line="280" w:before="240" w:after="283"/>
              <w:jc w:val="left"/>
              <w:rPr/>
            </w:pPr>
            <w:r>
              <w:rPr/>
              <w:t xml:space="preserve">TO BE HELD ON </w:t>
            </w:r>
          </w:p>
          <w:p>
            <w:pPr>
              <w:pStyle w:val="TableContents"/>
              <w:bidi w:val="0"/>
              <w:spacing w:lineRule="atLeast" w:line="360" w:before="40" w:after="283"/>
              <w:jc w:val="left"/>
              <w:rPr>
                <w:sz w:val="32"/>
              </w:rPr>
            </w:pPr>
            <w:r>
              <w:rPr>
                <w:sz w:val="32"/>
              </w:rPr>
              <w:t xml:space="preserve">NOVEMBER 18, 2026 AT 12:00 PM ET​ </w:t>
            </w:r>
          </w:p>
          <w:p>
            <w:pPr>
              <w:pStyle w:val="TableContents"/>
              <w:bidi w:val="0"/>
              <w:spacing w:before="0" w:after="283"/>
              <w:ind w:left="0" w:right="0" w:hanging="0"/>
              <w:jc w:val="both"/>
              <w:rPr>
                <w:bdr w:val="single" w:sz="8" w:space="1" w:color="FFFFFF"/>
              </w:rPr>
            </w:pPr>
            <w:r>
              <w:rPr>
                <w:bdr w:val="single" w:sz="8" w:space="1" w:color="FFFFFF"/>
              </w:rPr>
              <w:t>​</w:t>
            </w:r>
          </w:p>
          <w:p>
            <w:pPr>
              <w:pStyle w:val="TableContents"/>
              <w:bidi w:val="0"/>
              <w:spacing w:lineRule="atLeast" w:line="220" w:before="220" w:after="283"/>
              <w:jc w:val="left"/>
              <w:rPr>
                <w:b w:val="false"/>
                <w:sz w:val="22"/>
              </w:rPr>
            </w:pPr>
            <w:r>
              <w:rPr>
                <w:b w:val="false"/>
                <w:sz w:val="22"/>
              </w:rPr>
              <w:t>The Annual Meeting is a virtual meeting at: www.virtualshareholder</w:t>
              <w:br/>
              <w:t>meeting.com/COHR2026</w:t>
            </w:r>
            <w:r>
              <w:rPr>
                <w:b w:val="false"/>
                <w:color w:val="000000"/>
                <w:sz w:val="22"/>
              </w:rPr>
              <w:t xml:space="preserve">​ </w:t>
            </w:r>
          </w:p>
          <w:p>
            <w:pPr>
              <w:pStyle w:val="TableContents"/>
              <w:bidi w:val="0"/>
              <w:spacing w:lineRule="atLeast" w:line="160" w:before="120" w:after="283"/>
              <w:jc w:val="left"/>
              <w:rPr>
                <w:color w:val="000000"/>
              </w:rPr>
            </w:pPr>
            <w:r>
              <w:rPr>
                <w:color w:val="000000"/>
              </w:rPr>
              <w:t> </w:t>
            </w:r>
          </w:p>
        </w:tc>
        <w:tc>
          <w:tcPr>
            <w:tcW w:w="154" w:type="dxa"/>
            <w:tcBorders/>
            <w:shd w:fill="0068C7" w:val="clear"/>
            <w:vAlign w:val="center"/>
          </w:tcPr>
          <w:p>
            <w:pPr>
              <w:pStyle w:val="TableContents"/>
              <w:bidi w:val="0"/>
              <w:spacing w:before="0" w:after="283"/>
              <w:jc w:val="left"/>
              <w:rPr/>
            </w:pPr>
            <w:r>
              <w:rPr/>
              <w:t>​</w:t>
            </w:r>
          </w:p>
        </w:tc>
      </w:tr>
    </w:tbl>
    <w:p>
      <w:pPr>
        <w:pStyle w:val="TextBody"/>
        <w:bidi w:val="0"/>
        <w:spacing w:lineRule="atLeast" w:line="280" w:before="0" w:after="240"/>
        <w:ind w:left="893" w:right="40" w:hanging="0"/>
        <w:jc w:val="left"/>
        <w:rPr>
          <w:rFonts w:ascii="Tahoma;Geneva;sans-serif" w:hAnsi="Tahoma;Geneva;sans-serif"/>
          <w:b/>
          <w:i w:val="false"/>
          <w:caps w:val="false"/>
          <w:smallCaps w:val="false"/>
          <w:color w:val="000000"/>
          <w:sz w:val="24"/>
          <w:shd w:fill="FFFFFF" w:val="clear"/>
        </w:rPr>
      </w:pPr>
      <w:r>
        <w:rPr>
          <w:rFonts w:ascii="Tahoma;Geneva;sans-serif" w:hAnsi="Tahoma;Geneva;sans-serif"/>
          <w:b/>
          <w:i w:val="false"/>
          <w:caps/>
          <w:color w:val="000000"/>
          <w:sz w:val="24"/>
          <w:shd w:fill="FFFFFF" w:val="clear"/>
        </w:rPr>
        <w:t>RECORD DATE: SEPTEMBER 21, 2026</w:t>
      </w:r>
      <w:r>
        <w:rPr>
          <w:rFonts w:ascii="Tahoma;Geneva;sans-serif" w:hAnsi="Tahoma;Geneva;sans-serif"/>
          <w:b/>
          <w:i w:val="false"/>
          <w:caps w:val="false"/>
          <w:smallCaps w:val="false"/>
          <w:color w:val="000000"/>
          <w:spacing w:val="5"/>
          <w:sz w:val="24"/>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Only shareholders of record as of the close of business on September 21, 2026 will be entitled to notice of and to vote at the Annual Meeting.</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80" w:before="480" w:after="283"/>
        <w:jc w:val="left"/>
        <w:rPr>
          <w:rFonts w:ascii="Tahoma;Geneva;sans-serif" w:hAnsi="Tahoma;Geneva;sans-serif"/>
          <w:b/>
          <w:i w:val="false"/>
          <w:caps w:val="false"/>
          <w:smallCaps w:val="false"/>
          <w:color w:val="000000"/>
          <w:sz w:val="24"/>
          <w:shd w:fill="FFFFFF" w:val="clear"/>
        </w:rPr>
      </w:pPr>
      <w:r>
        <w:rPr>
          <w:rFonts w:ascii="Tahoma;Geneva;sans-serif" w:hAnsi="Tahoma;Geneva;sans-serif"/>
          <w:b/>
          <w:i w:val="false"/>
          <w:caps w:val="false"/>
          <w:smallCaps w:val="false"/>
          <w:color w:val="000000"/>
          <w:sz w:val="24"/>
          <w:shd w:fill="FFFFFF" w:val="clear"/>
        </w:rPr>
        <w:t>ATTENDANCE</w:t>
      </w:r>
      <w:r>
        <w:rPr>
          <w:rFonts w:ascii="Tahoma;Geneva;sans-serif" w:hAnsi="Tahoma;Geneva;sans-serif"/>
          <w:b/>
          <w:i w:val="false"/>
          <w:caps w:val="false"/>
          <w:smallCaps w:val="false"/>
          <w:color w:val="000000"/>
          <w:spacing w:val="5"/>
          <w:sz w:val="24"/>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 xml:space="preserve">Only shareholders of record or their legal proxies may participate in the virtual </w:t>
        <w:br/>
        <w:t>Annual Meeting.</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80" w:before="240" w:after="283"/>
        <w:jc w:val="left"/>
        <w:rPr>
          <w:rFonts w:ascii="Tahoma;Geneva;sans-serif" w:hAnsi="Tahoma;Geneva;sans-serif"/>
          <w:b/>
          <w:i w:val="false"/>
          <w:caps w:val="false"/>
          <w:smallCaps w:val="false"/>
          <w:color w:val="000000"/>
          <w:sz w:val="24"/>
          <w:shd w:fill="FFFFFF" w:val="clear"/>
        </w:rPr>
      </w:pPr>
      <w:r>
        <w:rPr>
          <w:rFonts w:ascii="Tahoma;Geneva;sans-serif" w:hAnsi="Tahoma;Geneva;sans-serif"/>
          <w:b/>
          <w:i w:val="false"/>
          <w:caps w:val="false"/>
          <w:smallCaps w:val="false"/>
          <w:color w:val="000000"/>
          <w:sz w:val="24"/>
          <w:shd w:fill="FFFFFF" w:val="clear"/>
        </w:rPr>
        <w:t>ITEMS OF BUSINESS</w:t>
      </w:r>
      <w:r>
        <w:rPr>
          <w:rFonts w:ascii="Tahoma;Geneva;sans-serif" w:hAnsi="Tahoma;Geneva;sans-serif"/>
          <w:b/>
          <w:i w:val="false"/>
          <w:caps w:val="false"/>
          <w:smallCaps w:val="false"/>
          <w:color w:val="000000"/>
          <w:spacing w:val="5"/>
          <w:sz w:val="24"/>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Shareholders are asked to vote on the following items at the Annual Meeting:</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5" w:before="178"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i w:val="false"/>
          <w:caps w:val="false"/>
          <w:smallCaps w:val="false"/>
          <w:color w:val="000000"/>
          <w:spacing w:val="0"/>
          <w:sz w:val="19"/>
          <w:shd w:fill="FFFFFF" w:val="clear"/>
        </w:rPr>
        <w:t>Proposal 1</w:t>
      </w:r>
      <w:r>
        <w:rPr>
          <w:rFonts w:ascii="Arial;Helvetica;sans-serif" w:hAnsi="Arial;Helvetica;sans-serif"/>
          <w:b w:val="false"/>
          <w:i w:val="false"/>
          <w:caps w:val="false"/>
          <w:smallCaps w:val="false"/>
          <w:color w:val="000000"/>
          <w:spacing w:val="-1"/>
          <w:sz w:val="19"/>
          <w:shd w:fill="FFFFFF" w:val="clear"/>
        </w:rPr>
        <w:t>: Election of four Class Three directors named in the proxy statement, each for a three-year term to expire in 2029.</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3030" distB="0" distL="762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8.9pt;mso-wrap-distance-bottom:0pt;margin-top:8.9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78"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i w:val="false"/>
          <w:caps w:val="false"/>
          <w:smallCaps w:val="false"/>
          <w:color w:val="000000"/>
          <w:spacing w:val="0"/>
          <w:sz w:val="19"/>
          <w:shd w:fill="FFFFFF" w:val="clear"/>
        </w:rPr>
        <w:t>Proposal 2</w:t>
      </w:r>
      <w:r>
        <w:rPr>
          <w:rFonts w:ascii="Arial;Helvetica;sans-serif" w:hAnsi="Arial;Helvetica;sans-serif"/>
          <w:b w:val="false"/>
          <w:i w:val="false"/>
          <w:caps w:val="false"/>
          <w:smallCaps w:val="false"/>
          <w:color w:val="000000"/>
          <w:spacing w:val="-1"/>
          <w:sz w:val="19"/>
          <w:shd w:fill="FFFFFF" w:val="clear"/>
        </w:rPr>
        <w:t>: A non-binding advisory vote to approve compensation paid to our named executive officers in fiscal year 2026, as disclosed in the proxy statement.</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3030" distB="0" distL="762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8.9pt;mso-wrap-distance-bottom:0pt;margin-top:8.9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240" w:after="283"/>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i w:val="false"/>
          <w:caps w:val="false"/>
          <w:smallCaps w:val="false"/>
          <w:color w:val="000000"/>
          <w:spacing w:val="0"/>
          <w:sz w:val="19"/>
          <w:shd w:fill="FFFFFF" w:val="clear"/>
        </w:rPr>
        <w:t>Proposal 3</w:t>
      </w:r>
      <w:r>
        <w:rPr>
          <w:rFonts w:ascii="Arial;Helvetica;sans-serif" w:hAnsi="Arial;Helvetica;sans-serif"/>
          <w:b w:val="false"/>
          <w:i w:val="false"/>
          <w:caps w:val="false"/>
          <w:smallCaps w:val="false"/>
          <w:color w:val="000000"/>
          <w:spacing w:val="-1"/>
          <w:sz w:val="19"/>
          <w:shd w:fill="FFFFFF" w:val="clear"/>
        </w:rPr>
        <w:t xml:space="preserve">: Ratification of the Audit and Risk Committee’s selection of Ernst &amp; </w:t>
        <w:br/>
        <w:t xml:space="preserve">Young LLP as our independent registered public accounting firm for the fiscal year </w:t>
        <w:br/>
        <w:t>ending June 30, 2027.</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0" distB="0" distL="76200" distR="0" simplePos="0" locked="0" layoutInCell="1" allowOverlap="1" relativeHeight="238">
                <wp:simplePos x="0" y="0"/>
                <wp:positionH relativeFrom="column">
                  <wp:align>left</wp:align>
                </wp:positionH>
                <wp:positionV relativeFrom="line">
                  <wp:posOffset>635</wp:posOffset>
                </wp:positionV>
                <wp:extent cx="127000" cy="350520"/>
                <wp:effectExtent l="0" t="0" r="0" b="0"/>
                <wp:wrapSquare wrapText="right"/>
                <wp:docPr id="2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0pt;mso-wrap-distance-bottom:0pt;margin-top:0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80" w:after="0"/>
        <w:ind w:left="1213" w:right="40" w:hanging="0"/>
        <w:jc w:val="left"/>
        <w:rPr>
          <w:rFonts w:ascii="Arial;Helvetica;sans-serif" w:hAnsi="Arial;Helvetica;sans-serif"/>
          <w:b w:val="false"/>
          <w:i w:val="false"/>
          <w:caps w:val="false"/>
          <w:smallCaps w:val="false"/>
          <w:color w:val="000000"/>
          <w:spacing w:val="-1"/>
          <w:sz w:val="19"/>
          <w:shd w:fill="FFFFFF" w:val="clear"/>
        </w:rPr>
      </w:pPr>
      <w:r>
        <w:rPr>
          <w:rFonts w:ascii="Arial;Helvetica;sans-serif" w:hAnsi="Arial;Helvetica;sans-serif"/>
          <w:b w:val="false"/>
          <w:i w:val="false"/>
          <w:caps w:val="false"/>
          <w:smallCaps w:val="false"/>
          <w:color w:val="000000"/>
          <w:spacing w:val="-1"/>
          <w:sz w:val="19"/>
          <w:shd w:fill="FFFFFF" w:val="clear"/>
        </w:rPr>
        <w:t xml:space="preserve">Such other business as may properly come before the Annual Meeting or any </w:t>
        <w:br/>
        <w:t xml:space="preserve">postponement or adjournment thereof. </w:t>
      </w:r>
      <w:r>
        <mc:AlternateContent>
          <mc:Choice Requires="wps">
            <w:drawing>
              <wp:anchor behindDoc="0" distT="114300" distB="0" distL="762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9pt;mso-wrap-distance-bottom:0pt;margin-top:9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80" w:before="480" w:after="283"/>
        <w:jc w:val="left"/>
        <w:rPr>
          <w:rFonts w:ascii="Tahoma;Geneva;sans-serif" w:hAnsi="Tahoma;Geneva;sans-serif"/>
          <w:b/>
          <w:i w:val="false"/>
          <w:caps w:val="false"/>
          <w:smallCaps w:val="false"/>
          <w:color w:val="000000"/>
          <w:sz w:val="24"/>
          <w:shd w:fill="FFFFFF" w:val="clear"/>
        </w:rPr>
      </w:pPr>
      <w:r>
        <w:rPr>
          <w:rFonts w:ascii="Tahoma;Geneva;sans-serif" w:hAnsi="Tahoma;Geneva;sans-serif"/>
          <w:b/>
          <w:i w:val="false"/>
          <w:caps w:val="false"/>
          <w:smallCaps w:val="false"/>
          <w:color w:val="000000"/>
          <w:sz w:val="24"/>
          <w:shd w:fill="FFFFFF" w:val="clear"/>
        </w:rPr>
        <w:t>VOTING</w:t>
      </w:r>
      <w:r>
        <w:rPr>
          <w:rFonts w:ascii="Tahoma;Geneva;sans-serif" w:hAnsi="Tahoma;Geneva;sans-serif"/>
          <w:b/>
          <w:i w:val="false"/>
          <w:caps w:val="false"/>
          <w:smallCaps w:val="false"/>
          <w:color w:val="000000"/>
          <w:spacing w:val="5"/>
          <w:sz w:val="24"/>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Every shareholder of record is entitled to cast one vote for every share of common stock held by them as of the close of business on September 21, 2026, on each of the items to be voted on at the Annual Meeting.</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360" w:before="280" w:after="283"/>
        <w:jc w:val="left"/>
        <w:rPr>
          <w:rFonts w:ascii="Tahoma;Geneva;sans-serif" w:hAnsi="Tahoma;Geneva;sans-serif"/>
          <w:b/>
          <w:i w:val="false"/>
          <w:caps w:val="false"/>
          <w:smallCaps w:val="false"/>
          <w:color w:val="4C4C4C"/>
          <w:sz w:val="32"/>
          <w:shd w:fill="FFFFFF" w:val="clear"/>
        </w:rPr>
      </w:pPr>
      <w:r>
        <w:rPr>
          <w:rFonts w:ascii="Tahoma;Geneva;sans-serif" w:hAnsi="Tahoma;Geneva;sans-serif"/>
          <w:b/>
          <w:i w:val="false"/>
          <w:caps w:val="false"/>
          <w:smallCaps w:val="false"/>
          <w:color w:val="4C4C4C"/>
          <w:sz w:val="32"/>
          <w:shd w:fill="FFFFFF" w:val="clear"/>
        </w:rPr>
        <w:t>AVAILABILITY OF MATERIALS</w:t>
      </w:r>
      <w:r>
        <w:rPr>
          <w:rFonts w:ascii="Tahoma;Geneva;sans-serif" w:hAnsi="Tahoma;Geneva;sans-serif"/>
          <w:b/>
          <w:i w:val="false"/>
          <w:caps w:val="false"/>
          <w:smallCaps w:val="false"/>
          <w:color w:val="000000"/>
          <w:spacing w:val="6"/>
          <w:sz w:val="32"/>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 xml:space="preserve">Shareholders of record will automatically receive a printed set of proxy materials, including a proxy card. For shareholders who hold shares through a broker, bank or other nominee (commonly referred to as held in “street name”), we furnish proxy materials via the internet. If you received a </w:t>
      </w:r>
      <w:r>
        <w:rPr>
          <w:rFonts w:ascii="Arial;Helvetica;sans-serif" w:hAnsi="Arial;Helvetica;sans-serif"/>
          <w:b/>
          <w:i/>
          <w:caps w:val="false"/>
          <w:smallCaps w:val="false"/>
          <w:color w:val="000000"/>
          <w:sz w:val="19"/>
          <w:shd w:fill="FFFFFF" w:val="clear"/>
        </w:rPr>
        <w:t>Notice of Internet Availability of Proxy Materials</w:t>
      </w:r>
      <w:r>
        <w:rPr>
          <w:rFonts w:ascii="Arial;Helvetica;sans-serif" w:hAnsi="Arial;Helvetica;sans-serif"/>
          <w:b w:val="false"/>
          <w:i w:val="false"/>
          <w:caps w:val="false"/>
          <w:smallCaps w:val="false"/>
          <w:color w:val="000000"/>
          <w:spacing w:val="-1"/>
          <w:sz w:val="19"/>
          <w:shd w:fill="FFFFFF" w:val="clear"/>
        </w:rPr>
        <w:t xml:space="preserve"> (the “Notice”) by mail from your broker, bank or other nominee, you will not receive a printed copy of the proxy materials unless you request one. The Notice instructs you how to access and review all the important information contained in the proxy materials over the internet. The Notice also provides instructions for submitting your proxy over the internet. If you received a Notice and would like to receive a printed copy of our proxy materials, please follow the instructions for requesting materials included in the Notice.</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This proxy statement and proxy card will first be made available to shareholders on or about October 9, 2026.</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By Order of the Board</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i w:val="false"/>
          <w:caps w:val="false"/>
          <w:smallCaps w:val="false"/>
          <w:color w:val="000000"/>
          <w:spacing w:val="0"/>
          <w:sz w:val="19"/>
          <w:shd w:fill="FFFFFF" w:val="clear"/>
        </w:rPr>
        <w:t>Rob Beard,</w:t>
      </w:r>
      <w:r>
        <w:rPr>
          <w:rFonts w:ascii="Arial;Helvetica;sans-serif" w:hAnsi="Arial;Helvetica;sans-serif"/>
          <w:b w:val="false"/>
          <w:i w:val="false"/>
          <w:caps w:val="false"/>
          <w:smallCaps w:val="false"/>
          <w:color w:val="000000"/>
          <w:spacing w:val="-1"/>
          <w:sz w:val="19"/>
          <w:shd w:fill="FFFFFF" w:val="clear"/>
        </w:rPr>
        <w:t xml:space="preserve"> </w:t>
      </w:r>
      <w:r>
        <w:rPr>
          <w:rFonts w:ascii="Arial;Helvetica;sans-serif" w:hAnsi="Arial;Helvetica;sans-serif"/>
          <w:b w:val="false"/>
          <w:i/>
          <w:caps w:val="false"/>
          <w:smallCaps w:val="false"/>
          <w:color w:val="000000"/>
          <w:sz w:val="19"/>
          <w:shd w:fill="FFFFFF" w:val="clear"/>
        </w:rPr>
        <w:t>Secretary</w:t>
      </w:r>
      <w:r>
        <w:rPr>
          <w:rFonts w:ascii="Arial;Helvetica;sans-serif" w:hAnsi="Arial;Helvetica;sans-serif"/>
          <w:b w:val="false"/>
          <w:i w:val="false"/>
          <w:caps w:val="false"/>
          <w:smallCaps w:val="false"/>
          <w:color w:val="000000"/>
          <w:sz w:val="19"/>
          <w:shd w:fill="FFFFFF" w:val="clear"/>
        </w:rPr>
        <w:t xml:space="preserve"> </w:t>
        <w:br/>
      </w:r>
      <w:r>
        <w:rPr>
          <w:rFonts w:ascii="Arial;Helvetica;sans-serif" w:hAnsi="Arial;Helvetica;sans-serif"/>
          <w:b w:val="false"/>
          <w:i w:val="false"/>
          <w:caps w:val="false"/>
          <w:smallCaps w:val="false"/>
          <w:color w:val="000000"/>
          <w:spacing w:val="-1"/>
          <w:sz w:val="19"/>
          <w:shd w:fill="FFFFFF" w:val="clear"/>
        </w:rPr>
        <w:t>October 9, 2026</w:t>
      </w:r>
      <w:r>
        <w:rPr>
          <w:rFonts w:ascii="Arial;Helvetica;sans-serif" w:hAnsi="Arial;Helvetica;sans-serif"/>
          <w:b w:val="false"/>
          <w:i w:val="false"/>
          <w:caps w:val="false"/>
          <w:smallCaps w:val="false"/>
          <w:color w:val="000000"/>
          <w:spacing w:val="4"/>
          <w:sz w:val="19"/>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109"/>
        <w:gridCol w:w="877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0068C7"/>
            </w:tcBorders>
            <w:tcMar>
              <w:bottom w:w="28" w:type="dxa"/>
            </w:tcMar>
            <w:vAlign w:val="center"/>
          </w:tcPr>
          <w:p>
            <w:pPr>
              <w:pStyle w:val="TableContents"/>
              <w:bidi w:val="0"/>
              <w:spacing w:before="0" w:after="283"/>
              <w:jc w:val="left"/>
              <w:rPr/>
            </w:pPr>
            <w:r>
              <w:rPr/>
              <w:t>​</w:t>
            </w:r>
          </w:p>
        </w:tc>
        <w:tc>
          <w:tcPr>
            <w:tcW w:w="8776" w:type="dxa"/>
            <w:tcBorders>
              <w:bottom w:val="single" w:sz="8" w:space="0" w:color="0068C7"/>
            </w:tcBorders>
            <w:tcMar>
              <w:bottom w:w="215" w:type="dxa"/>
            </w:tcMar>
            <w:vAlign w:val="center"/>
          </w:tcPr>
          <w:p>
            <w:pPr>
              <w:pStyle w:val="TableContents"/>
              <w:bidi w:val="0"/>
              <w:spacing w:lineRule="atLeast" w:line="275" w:before="0" w:after="0"/>
              <w:jc w:val="center"/>
              <w:rPr/>
            </w:pPr>
            <w:r>
              <w:rPr>
                <w:spacing w:val="-2"/>
              </w:rPr>
              <w:t xml:space="preserve">YOUR VOTE IS IMPORTANT. WE URGE YOU TO CAST YOUR VOTE AS INSTRUCTED IN THE NOTICE OR </w:t>
              <w:br/>
              <w:t xml:space="preserve">PROXY CARD AS PROMPTLY AS POSSIBLE. IF YOU DID NOT RECEIVE A PAPER PROXY CARD, YOU MAY </w:t>
              <w:br/>
              <w:t xml:space="preserve">REQUEST ONE BY CONTACTING THE COMPANY’S SECRETARY AT COHERENT CORP., 375 SAXONBURG </w:t>
              <w:br/>
              <w:t>BOULEVARD, SAXONBURG, PA 16056.</w:t>
            </w:r>
            <w:r>
              <w:rPr/>
              <w:t xml:space="preserve"> </w:t>
            </w:r>
          </w:p>
        </w:tc>
        <w:tc>
          <w:tcPr>
            <w:tcW w:w="109" w:type="dxa"/>
            <w:tcBorders>
              <w:bottom w:val="single" w:sz="8" w:space="0" w:color="0068C7"/>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1</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3" w:name="TOC"/>
      <w:bookmarkEnd w:id="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640" w:before="120" w:after="283"/>
        <w:ind w:left="893" w:right="40" w:hanging="0"/>
        <w:jc w:val="left"/>
        <w:rPr>
          <w:rFonts w:ascii="Tahoma;Geneva;sans-serif" w:hAnsi="Tahoma;Geneva;sans-serif"/>
          <w:b/>
          <w:i w:val="false"/>
          <w:caps w:val="false"/>
          <w:smallCaps w:val="false"/>
          <w:color w:val="0068C7"/>
          <w:sz w:val="60"/>
          <w:shd w:fill="FFFFFF" w:val="clear"/>
        </w:rPr>
      </w:pPr>
      <w:r>
        <w:rPr>
          <w:rFonts w:ascii="Tahoma;Geneva;sans-serif" w:hAnsi="Tahoma;Geneva;sans-serif"/>
          <w:b/>
          <w:i w:val="false"/>
          <w:caps w:val="false"/>
          <w:smallCaps w:val="false"/>
          <w:color w:val="0068C7"/>
          <w:sz w:val="60"/>
          <w:shd w:fill="FFFFFF" w:val="clear"/>
        </w:rPr>
        <w:t>TABLE OF CONTENTS</w:t>
      </w:r>
      <w:r>
        <w:rPr>
          <w:rFonts w:ascii="Tahoma;Geneva;sans-serif" w:hAnsi="Tahoma;Geneva;sans-serif"/>
          <w:b/>
          <w:i w:val="false"/>
          <w:caps w:val="false"/>
          <w:smallCaps w:val="false"/>
          <w:color w:val="000000"/>
          <w:spacing w:val="12"/>
          <w:sz w:val="60"/>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8074"/>
        <w:gridCol w:w="109"/>
        <w:gridCol w:w="109"/>
        <w:gridCol w:w="109"/>
        <w:gridCol w:w="109"/>
        <w:gridCol w:w="374"/>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8074" w:type="dxa"/>
            <w:tcBorders/>
            <w:shd w:fill="CCEEFF" w:val="clear"/>
            <w:vAlign w:val="center"/>
          </w:tcPr>
          <w:p>
            <w:pPr>
              <w:pStyle w:val="TableContents"/>
              <w:bidi w:val="0"/>
              <w:spacing w:before="0" w:after="0"/>
              <w:jc w:val="left"/>
              <w:rPr/>
            </w:pPr>
            <w:hyperlink w:anchor="tNOAM">
              <w:r>
                <w:rPr>
                  <w:rStyle w:val="InternetLink"/>
                  <w:spacing w:val="-2"/>
                </w:rPr>
                <w:t xml:space="preserve">Notice of Annual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4" w:type="dxa"/>
            <w:tcBorders/>
            <w:shd w:fill="CCEEFF" w:val="clear"/>
            <w:vAlign w:val="center"/>
          </w:tcPr>
          <w:p>
            <w:pPr>
              <w:pStyle w:val="TableContents"/>
              <w:bidi w:val="0"/>
              <w:spacing w:before="0" w:after="283"/>
              <w:jc w:val="right"/>
              <w:rPr/>
            </w:pPr>
            <w:hyperlink w:anchor="tNOAM">
              <w:r>
                <w:rPr>
                  <w:rStyle w:val="InternetLink"/>
                  <w:spacing w:val="-2"/>
                </w:rPr>
                <w:t>1</w:t>
              </w:r>
            </w:hyperlink>
            <w:hyperlink w:anchor="tNOA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74" w:type="dxa"/>
            <w:tcBorders/>
            <w:vAlign w:val="center"/>
          </w:tcPr>
          <w:p>
            <w:pPr>
              <w:pStyle w:val="TableContents"/>
              <w:bidi w:val="0"/>
              <w:spacing w:before="0" w:after="0"/>
              <w:jc w:val="left"/>
              <w:rPr/>
            </w:pPr>
            <w:hyperlink w:anchor="tVMAB">
              <w:r>
                <w:rPr>
                  <w:rStyle w:val="InternetLink"/>
                  <w:spacing w:val="-2"/>
                </w:rPr>
                <w:t xml:space="preserve">Voting Matters and Board Recommendations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4" w:type="dxa"/>
            <w:tcBorders/>
            <w:vAlign w:val="center"/>
          </w:tcPr>
          <w:p>
            <w:pPr>
              <w:pStyle w:val="TableContents"/>
              <w:bidi w:val="0"/>
              <w:spacing w:before="0" w:after="283"/>
              <w:jc w:val="right"/>
              <w:rPr/>
            </w:pPr>
            <w:hyperlink w:anchor="tVMAB">
              <w:r>
                <w:rPr>
                  <w:rStyle w:val="InternetLink"/>
                  <w:spacing w:val="-2"/>
                </w:rPr>
                <w:t>3</w:t>
              </w:r>
            </w:hyperlink>
            <w:hyperlink w:anchor="tVMA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74" w:type="dxa"/>
            <w:tcBorders/>
            <w:shd w:fill="CCEEFF" w:val="clear"/>
            <w:vAlign w:val="center"/>
          </w:tcPr>
          <w:p>
            <w:pPr>
              <w:pStyle w:val="TableContents"/>
              <w:bidi w:val="0"/>
              <w:spacing w:before="0" w:after="0"/>
              <w:jc w:val="left"/>
              <w:rPr/>
            </w:pPr>
            <w:hyperlink w:anchor="tF2PH">
              <w:r>
                <w:rPr>
                  <w:rStyle w:val="InternetLink"/>
                  <w:spacing w:val="-2"/>
                </w:rPr>
                <w:t xml:space="preserve">Proxy Highlights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4" w:type="dxa"/>
            <w:tcBorders/>
            <w:shd w:fill="CCEEFF" w:val="clear"/>
            <w:vAlign w:val="center"/>
          </w:tcPr>
          <w:p>
            <w:pPr>
              <w:pStyle w:val="TableContents"/>
              <w:bidi w:val="0"/>
              <w:spacing w:before="0" w:after="283"/>
              <w:jc w:val="right"/>
              <w:rPr/>
            </w:pPr>
            <w:hyperlink w:anchor="tF2PH">
              <w:r>
                <w:rPr>
                  <w:rStyle w:val="InternetLink"/>
                  <w:spacing w:val="-2"/>
                </w:rPr>
                <w:t>4</w:t>
              </w:r>
            </w:hyperlink>
            <w:hyperlink w:anchor="tF2PH">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74" w:type="dxa"/>
            <w:tcBorders/>
            <w:vAlign w:val="center"/>
          </w:tcPr>
          <w:p>
            <w:pPr>
              <w:pStyle w:val="TableContents"/>
              <w:bidi w:val="0"/>
              <w:spacing w:before="0" w:after="0"/>
              <w:jc w:val="left"/>
              <w:rPr/>
            </w:pPr>
            <w:hyperlink w:anchor="tTBIDV">
              <w:r>
                <w:rPr>
                  <w:rStyle w:val="InternetLink"/>
                  <w:b/>
                  <w:color w:val="0068C7"/>
                  <w:spacing w:val="-4"/>
                  <w:sz w:val="28"/>
                </w:rPr>
                <w:t>PROPOSAL 1</w:t>
              </w:r>
            </w:hyperlink>
            <w:hyperlink w:anchor="tTBIDV">
              <w:r>
                <w:rPr>
                  <w:rStyle w:val="InternetLink"/>
                  <w:b/>
                  <w:color w:val="000000"/>
                  <w:sz w:val="28"/>
                </w:rPr>
                <w:t>​</w:t>
              </w:r>
            </w:hyperlink>
            <w:r>
              <w:rPr>
                <w:b/>
                <w:color w:val="0068C7"/>
                <w:sz w:val="28"/>
              </w:rPr>
              <w:t xml:space="preserve"> </w:t>
            </w:r>
          </w:p>
          <w:p>
            <w:pPr>
              <w:pStyle w:val="TableContents"/>
              <w:bidi w:val="0"/>
              <w:spacing w:before="40" w:after="283"/>
              <w:jc w:val="left"/>
              <w:rPr/>
            </w:pPr>
            <w:hyperlink w:anchor="tTBIDV">
              <w:r>
                <w:rPr>
                  <w:rStyle w:val="InternetLink"/>
                  <w:b/>
                  <w:spacing w:val="-3"/>
                </w:rPr>
                <w:t>ELECTION OF DIRECTORS</w:t>
              </w:r>
            </w:hyperlink>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4" w:type="dxa"/>
            <w:tcBorders/>
            <w:vAlign w:val="center"/>
          </w:tcPr>
          <w:p>
            <w:pPr>
              <w:pStyle w:val="TableContents"/>
              <w:bidi w:val="0"/>
              <w:spacing w:before="0" w:after="283"/>
              <w:jc w:val="right"/>
              <w:rPr/>
            </w:pPr>
            <w:hyperlink w:anchor="tTBIDV">
              <w:r>
                <w:rPr>
                  <w:rStyle w:val="InternetLink"/>
                  <w:spacing w:val="-2"/>
                </w:rPr>
                <w:t>9</w:t>
              </w:r>
            </w:hyperlink>
            <w:hyperlink w:anchor="tTBIDV">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74" w:type="dxa"/>
            <w:tcBorders/>
            <w:shd w:fill="CCEEFF" w:val="clear"/>
            <w:vAlign w:val="center"/>
          </w:tcPr>
          <w:p>
            <w:pPr>
              <w:pStyle w:val="TableContents"/>
              <w:bidi w:val="0"/>
              <w:spacing w:before="0" w:after="0"/>
              <w:jc w:val="left"/>
              <w:rPr/>
            </w:pPr>
            <w:hyperlink w:anchor="tCTDS">
              <w:r>
                <w:rPr>
                  <w:rStyle w:val="InternetLink"/>
                  <w:spacing w:val="-2"/>
                </w:rPr>
                <w:t xml:space="preserve">Class Three Directors Standing for Election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4" w:type="dxa"/>
            <w:tcBorders/>
            <w:shd w:fill="CCEEFF" w:val="clear"/>
            <w:vAlign w:val="center"/>
          </w:tcPr>
          <w:p>
            <w:pPr>
              <w:pStyle w:val="TableContents"/>
              <w:bidi w:val="0"/>
              <w:spacing w:before="0" w:after="283"/>
              <w:jc w:val="right"/>
              <w:rPr/>
            </w:pPr>
            <w:hyperlink w:anchor="tCTDS">
              <w:r>
                <w:rPr>
                  <w:rStyle w:val="InternetLink"/>
                  <w:spacing w:val="-2"/>
                </w:rPr>
                <w:t>12</w:t>
              </w:r>
            </w:hyperlink>
            <w:hyperlink w:anchor="tCTD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74" w:type="dxa"/>
            <w:tcBorders/>
            <w:vAlign w:val="center"/>
          </w:tcPr>
          <w:p>
            <w:pPr>
              <w:pStyle w:val="TableContents"/>
              <w:bidi w:val="0"/>
              <w:spacing w:before="0" w:after="0"/>
              <w:jc w:val="left"/>
              <w:rPr/>
            </w:pPr>
            <w:hyperlink w:anchor="tCODI">
              <w:r>
                <w:rPr>
                  <w:rStyle w:val="InternetLink"/>
                  <w:spacing w:val="-2"/>
                </w:rPr>
                <w:t xml:space="preserve">Continuing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4" w:type="dxa"/>
            <w:tcBorders/>
            <w:vAlign w:val="center"/>
          </w:tcPr>
          <w:p>
            <w:pPr>
              <w:pStyle w:val="TableContents"/>
              <w:bidi w:val="0"/>
              <w:spacing w:before="0" w:after="283"/>
              <w:jc w:val="right"/>
              <w:rPr/>
            </w:pPr>
            <w:hyperlink w:anchor="tCODI">
              <w:r>
                <w:rPr>
                  <w:rStyle w:val="InternetLink"/>
                  <w:spacing w:val="-2"/>
                </w:rPr>
                <w:t>15</w:t>
              </w:r>
            </w:hyperlink>
            <w:hyperlink w:anchor="tCOD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74" w:type="dxa"/>
            <w:tcBorders/>
            <w:shd w:fill="CCEEFF" w:val="clear"/>
            <w:vAlign w:val="center"/>
          </w:tcPr>
          <w:p>
            <w:pPr>
              <w:pStyle w:val="TableContents"/>
              <w:bidi w:val="0"/>
              <w:spacing w:before="0" w:after="0"/>
              <w:jc w:val="left"/>
              <w:rPr/>
            </w:pPr>
            <w:hyperlink w:anchor="tMASC">
              <w:r>
                <w:rPr>
                  <w:rStyle w:val="InternetLink"/>
                  <w:spacing w:val="-2"/>
                </w:rPr>
                <w:t xml:space="preserve">Meetings and Standing Committees of the Board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4" w:type="dxa"/>
            <w:tcBorders/>
            <w:shd w:fill="CCEEFF" w:val="clear"/>
            <w:vAlign w:val="center"/>
          </w:tcPr>
          <w:p>
            <w:pPr>
              <w:pStyle w:val="TableContents"/>
              <w:bidi w:val="0"/>
              <w:spacing w:before="0" w:after="283"/>
              <w:jc w:val="right"/>
              <w:rPr/>
            </w:pPr>
            <w:hyperlink w:anchor="tMASC">
              <w:r>
                <w:rPr>
                  <w:rStyle w:val="InternetLink"/>
                  <w:spacing w:val="-2"/>
                </w:rPr>
                <w:t>22</w:t>
              </w:r>
            </w:hyperlink>
            <w:hyperlink w:anchor="tMAS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74" w:type="dxa"/>
            <w:tcBorders/>
            <w:vAlign w:val="center"/>
          </w:tcPr>
          <w:p>
            <w:pPr>
              <w:pStyle w:val="TableContents"/>
              <w:bidi w:val="0"/>
              <w:spacing w:before="0" w:after="0"/>
              <w:jc w:val="left"/>
              <w:rPr/>
            </w:pPr>
            <w:hyperlink w:anchor="tDIAC">
              <w:r>
                <w:rPr>
                  <w:rStyle w:val="InternetLink"/>
                  <w:spacing w:val="-2"/>
                </w:rPr>
                <w:t xml:space="preserve">Director Independence and Corporate Governance Policies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4" w:type="dxa"/>
            <w:tcBorders/>
            <w:vAlign w:val="center"/>
          </w:tcPr>
          <w:p>
            <w:pPr>
              <w:pStyle w:val="TableContents"/>
              <w:bidi w:val="0"/>
              <w:spacing w:before="0" w:after="283"/>
              <w:jc w:val="right"/>
              <w:rPr/>
            </w:pPr>
            <w:hyperlink w:anchor="tDIAC">
              <w:r>
                <w:rPr>
                  <w:rStyle w:val="InternetLink"/>
                  <w:spacing w:val="-2"/>
                </w:rPr>
                <w:t>24</w:t>
              </w:r>
            </w:hyperlink>
            <w:hyperlink w:anchor="tDIA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74" w:type="dxa"/>
            <w:tcBorders/>
            <w:shd w:fill="CCEEFF" w:val="clear"/>
            <w:vAlign w:val="center"/>
          </w:tcPr>
          <w:p>
            <w:pPr>
              <w:pStyle w:val="TableContents"/>
              <w:bidi w:val="0"/>
              <w:spacing w:before="0" w:after="0"/>
              <w:jc w:val="left"/>
              <w:rPr/>
            </w:pPr>
            <w:hyperlink w:anchor="tDICO">
              <w:r>
                <w:rPr>
                  <w:rStyle w:val="InternetLink"/>
                  <w:spacing w:val="-2"/>
                </w:rPr>
                <w:t xml:space="preserve">Director Compensation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4" w:type="dxa"/>
            <w:tcBorders/>
            <w:shd w:fill="CCEEFF" w:val="clear"/>
            <w:vAlign w:val="center"/>
          </w:tcPr>
          <w:p>
            <w:pPr>
              <w:pStyle w:val="TableContents"/>
              <w:bidi w:val="0"/>
              <w:spacing w:before="0" w:after="283"/>
              <w:jc w:val="right"/>
              <w:rPr/>
            </w:pPr>
            <w:hyperlink w:anchor="tDICO">
              <w:r>
                <w:rPr>
                  <w:rStyle w:val="InternetLink"/>
                  <w:spacing w:val="-2"/>
                </w:rPr>
                <w:t>30</w:t>
              </w:r>
            </w:hyperlink>
            <w:hyperlink w:anchor="tDI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74" w:type="dxa"/>
            <w:tcBorders/>
            <w:vAlign w:val="center"/>
          </w:tcPr>
          <w:p>
            <w:pPr>
              <w:pStyle w:val="TableContents"/>
              <w:bidi w:val="0"/>
              <w:spacing w:before="0" w:after="0"/>
              <w:jc w:val="left"/>
              <w:rPr/>
            </w:pPr>
            <w:hyperlink w:anchor="tSOOC">
              <w:r>
                <w:rPr>
                  <w:rStyle w:val="InternetLink"/>
                  <w:spacing w:val="-2"/>
                </w:rPr>
                <w:t xml:space="preserve">Security Ownership of Certain Beneficial Owners and Management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4" w:type="dxa"/>
            <w:tcBorders/>
            <w:vAlign w:val="center"/>
          </w:tcPr>
          <w:p>
            <w:pPr>
              <w:pStyle w:val="TableContents"/>
              <w:bidi w:val="0"/>
              <w:spacing w:before="0" w:after="283"/>
              <w:jc w:val="right"/>
              <w:rPr/>
            </w:pPr>
            <w:hyperlink w:anchor="tSOOC">
              <w:r>
                <w:rPr>
                  <w:rStyle w:val="InternetLink"/>
                  <w:spacing w:val="-2"/>
                </w:rPr>
                <w:t>33</w:t>
              </w:r>
            </w:hyperlink>
            <w:hyperlink w:anchor="tSOO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74" w:type="dxa"/>
            <w:tcBorders/>
            <w:shd w:fill="CCEEFF" w:val="clear"/>
            <w:vAlign w:val="center"/>
          </w:tcPr>
          <w:p>
            <w:pPr>
              <w:pStyle w:val="TableContents"/>
              <w:bidi w:val="0"/>
              <w:spacing w:before="0" w:after="0"/>
              <w:jc w:val="left"/>
              <w:rPr/>
            </w:pPr>
            <w:hyperlink w:anchor="tEXOF">
              <w:r>
                <w:rPr>
                  <w:rStyle w:val="InternetLink"/>
                  <w:spacing w:val="-2"/>
                </w:rPr>
                <w:t xml:space="preserve">Executive Officers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4" w:type="dxa"/>
            <w:tcBorders/>
            <w:shd w:fill="CCEEFF" w:val="clear"/>
            <w:vAlign w:val="center"/>
          </w:tcPr>
          <w:p>
            <w:pPr>
              <w:pStyle w:val="TableContents"/>
              <w:bidi w:val="0"/>
              <w:spacing w:before="0" w:after="283"/>
              <w:jc w:val="right"/>
              <w:rPr/>
            </w:pPr>
            <w:hyperlink w:anchor="tEXOF">
              <w:r>
                <w:rPr>
                  <w:rStyle w:val="InternetLink"/>
                  <w:spacing w:val="-2"/>
                </w:rPr>
                <w:t>36</w:t>
              </w:r>
            </w:hyperlink>
            <w:hyperlink w:anchor="tEXO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74" w:type="dxa"/>
            <w:tcBorders/>
            <w:vAlign w:val="center"/>
          </w:tcPr>
          <w:p>
            <w:pPr>
              <w:pStyle w:val="TableContents"/>
              <w:bidi w:val="0"/>
              <w:spacing w:before="0" w:after="0"/>
              <w:jc w:val="left"/>
              <w:rPr/>
            </w:pPr>
            <w:hyperlink w:anchor="tIAWTV">
              <w:r>
                <w:rPr>
                  <w:rStyle w:val="InternetLink"/>
                  <w:b/>
                  <w:color w:val="0068C7"/>
                  <w:spacing w:val="-4"/>
                  <w:sz w:val="28"/>
                </w:rPr>
                <w:t>PROPOSAL 2</w:t>
              </w:r>
            </w:hyperlink>
            <w:hyperlink w:anchor="tIAWTV">
              <w:r>
                <w:rPr>
                  <w:rStyle w:val="InternetLink"/>
                  <w:b/>
                  <w:color w:val="000000"/>
                  <w:sz w:val="28"/>
                </w:rPr>
                <w:t>​</w:t>
              </w:r>
            </w:hyperlink>
            <w:r>
              <w:rPr>
                <w:b/>
                <w:color w:val="0068C7"/>
                <w:sz w:val="28"/>
              </w:rPr>
              <w:t xml:space="preserve"> </w:t>
            </w:r>
          </w:p>
          <w:p>
            <w:pPr>
              <w:pStyle w:val="TableContents"/>
              <w:bidi w:val="0"/>
              <w:spacing w:lineRule="atLeast" w:line="240" w:before="40" w:after="283"/>
              <w:jc w:val="left"/>
              <w:rPr/>
            </w:pPr>
            <w:hyperlink w:anchor="tIAWTV">
              <w:r>
                <w:rPr>
                  <w:rStyle w:val="InternetLink"/>
                  <w:b/>
                  <w:spacing w:val="-3"/>
                </w:rPr>
                <w:t>NON-BINDING ADVISORY VOTE TO APPROVE THE COMPANY’S 2026 NAMED EXECUTIVE OFFICER COMPENSATION</w:t>
              </w:r>
            </w:hyperlink>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4" w:type="dxa"/>
            <w:tcBorders/>
            <w:vAlign w:val="center"/>
          </w:tcPr>
          <w:p>
            <w:pPr>
              <w:pStyle w:val="TableContents"/>
              <w:bidi w:val="0"/>
              <w:spacing w:before="0" w:after="283"/>
              <w:jc w:val="right"/>
              <w:rPr/>
            </w:pPr>
            <w:hyperlink w:anchor="tIAWTV">
              <w:r>
                <w:rPr>
                  <w:rStyle w:val="InternetLink"/>
                  <w:spacing w:val="-2"/>
                </w:rPr>
                <w:t>38</w:t>
              </w:r>
            </w:hyperlink>
            <w:hyperlink w:anchor="tIAWTV">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74" w:type="dxa"/>
            <w:tcBorders/>
            <w:shd w:fill="CCEEFF" w:val="clear"/>
            <w:vAlign w:val="center"/>
          </w:tcPr>
          <w:p>
            <w:pPr>
              <w:pStyle w:val="TableContents"/>
              <w:bidi w:val="0"/>
              <w:spacing w:before="0" w:after="0"/>
              <w:jc w:val="left"/>
              <w:rPr/>
            </w:pPr>
            <w:hyperlink w:anchor="tFY2C">
              <w:r>
                <w:rPr>
                  <w:rStyle w:val="InternetLink"/>
                  <w:spacing w:val="-2"/>
                </w:rPr>
                <w:t xml:space="preserve">Fiscal Year 2026 Compensation Discussion and Analysis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4" w:type="dxa"/>
            <w:tcBorders/>
            <w:shd w:fill="CCEEFF" w:val="clear"/>
            <w:vAlign w:val="center"/>
          </w:tcPr>
          <w:p>
            <w:pPr>
              <w:pStyle w:val="TableContents"/>
              <w:bidi w:val="0"/>
              <w:spacing w:before="0" w:after="283"/>
              <w:jc w:val="right"/>
              <w:rPr/>
            </w:pPr>
            <w:hyperlink w:anchor="tFY2C">
              <w:r>
                <w:rPr>
                  <w:rStyle w:val="InternetLink"/>
                  <w:spacing w:val="-2"/>
                </w:rPr>
                <w:t>40</w:t>
              </w:r>
            </w:hyperlink>
            <w:hyperlink w:anchor="tFY2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74" w:type="dxa"/>
            <w:tcBorders/>
            <w:vAlign w:val="center"/>
          </w:tcPr>
          <w:p>
            <w:pPr>
              <w:pStyle w:val="TableContents"/>
              <w:bidi w:val="0"/>
              <w:spacing w:before="0" w:after="0"/>
              <w:jc w:val="left"/>
              <w:rPr/>
            </w:pPr>
            <w:hyperlink w:anchor="tCAHC">
              <w:r>
                <w:rPr>
                  <w:rStyle w:val="InternetLink"/>
                  <w:spacing w:val="-2"/>
                </w:rPr>
                <w:t xml:space="preserve">Compensation and Human Capital Committee Report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4" w:type="dxa"/>
            <w:tcBorders/>
            <w:vAlign w:val="center"/>
          </w:tcPr>
          <w:p>
            <w:pPr>
              <w:pStyle w:val="TableContents"/>
              <w:bidi w:val="0"/>
              <w:spacing w:before="0" w:after="283"/>
              <w:jc w:val="right"/>
              <w:rPr/>
            </w:pPr>
            <w:hyperlink w:anchor="tCAHC">
              <w:r>
                <w:rPr>
                  <w:rStyle w:val="InternetLink"/>
                  <w:spacing w:val="-2"/>
                </w:rPr>
                <w:t>60</w:t>
              </w:r>
            </w:hyperlink>
            <w:hyperlink w:anchor="tCAH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74" w:type="dxa"/>
            <w:tcBorders/>
            <w:shd w:fill="CCEEFF" w:val="clear"/>
            <w:vAlign w:val="center"/>
          </w:tcPr>
          <w:p>
            <w:pPr>
              <w:pStyle w:val="TableContents"/>
              <w:bidi w:val="0"/>
              <w:spacing w:before="0" w:after="0"/>
              <w:jc w:val="left"/>
              <w:rPr/>
            </w:pPr>
            <w:hyperlink w:anchor="tSCT">
              <w:r>
                <w:rPr>
                  <w:rStyle w:val="InternetLink"/>
                  <w:spacing w:val="-2"/>
                </w:rPr>
                <w:t xml:space="preserve">Summary Compensation Table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4" w:type="dxa"/>
            <w:tcBorders/>
            <w:shd w:fill="CCEEFF" w:val="clear"/>
            <w:vAlign w:val="center"/>
          </w:tcPr>
          <w:p>
            <w:pPr>
              <w:pStyle w:val="TableContents"/>
              <w:bidi w:val="0"/>
              <w:spacing w:before="0" w:after="283"/>
              <w:jc w:val="right"/>
              <w:rPr/>
            </w:pPr>
            <w:hyperlink w:anchor="tSCT">
              <w:r>
                <w:rPr>
                  <w:rStyle w:val="InternetLink"/>
                  <w:spacing w:val="-2"/>
                </w:rPr>
                <w:t>61</w:t>
              </w:r>
            </w:hyperlink>
            <w:hyperlink w:anchor="tSC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74" w:type="dxa"/>
            <w:tcBorders/>
            <w:vAlign w:val="center"/>
          </w:tcPr>
          <w:p>
            <w:pPr>
              <w:pStyle w:val="TableContents"/>
              <w:bidi w:val="0"/>
              <w:spacing w:before="0" w:after="0"/>
              <w:jc w:val="left"/>
              <w:rPr/>
            </w:pPr>
            <w:hyperlink w:anchor="tGOPA">
              <w:r>
                <w:rPr>
                  <w:rStyle w:val="InternetLink"/>
                  <w:spacing w:val="-2"/>
                </w:rPr>
                <w:t xml:space="preserve">Grants of Plan-Based Awards Fiscal Year 2026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4" w:type="dxa"/>
            <w:tcBorders/>
            <w:vAlign w:val="center"/>
          </w:tcPr>
          <w:p>
            <w:pPr>
              <w:pStyle w:val="TableContents"/>
              <w:bidi w:val="0"/>
              <w:spacing w:before="0" w:after="283"/>
              <w:jc w:val="right"/>
              <w:rPr/>
            </w:pPr>
            <w:hyperlink w:anchor="tGOPA">
              <w:r>
                <w:rPr>
                  <w:rStyle w:val="InternetLink"/>
                  <w:spacing w:val="-2"/>
                </w:rPr>
                <w:t>63</w:t>
              </w:r>
            </w:hyperlink>
            <w:hyperlink w:anchor="tGOP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74" w:type="dxa"/>
            <w:tcBorders/>
            <w:shd w:fill="CCEEFF" w:val="clear"/>
            <w:vAlign w:val="center"/>
          </w:tcPr>
          <w:p>
            <w:pPr>
              <w:pStyle w:val="TableContents"/>
              <w:bidi w:val="0"/>
              <w:spacing w:before="0" w:after="0"/>
              <w:jc w:val="left"/>
              <w:rPr/>
            </w:pPr>
            <w:hyperlink w:anchor="tOEAA">
              <w:r>
                <w:rPr>
                  <w:rStyle w:val="InternetLink"/>
                  <w:spacing w:val="-2"/>
                </w:rPr>
                <w:t xml:space="preserve">Outstanding Equity Awards at Fiscal Year End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4" w:type="dxa"/>
            <w:tcBorders/>
            <w:shd w:fill="CCEEFF" w:val="clear"/>
            <w:vAlign w:val="center"/>
          </w:tcPr>
          <w:p>
            <w:pPr>
              <w:pStyle w:val="TableContents"/>
              <w:bidi w:val="0"/>
              <w:spacing w:before="0" w:after="283"/>
              <w:jc w:val="right"/>
              <w:rPr/>
            </w:pPr>
            <w:hyperlink w:anchor="tOEAA">
              <w:r>
                <w:rPr>
                  <w:rStyle w:val="InternetLink"/>
                  <w:spacing w:val="-2"/>
                </w:rPr>
                <w:t>64</w:t>
              </w:r>
            </w:hyperlink>
            <w:hyperlink w:anchor="tOEA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74" w:type="dxa"/>
            <w:tcBorders/>
            <w:vAlign w:val="center"/>
          </w:tcPr>
          <w:p>
            <w:pPr>
              <w:pStyle w:val="TableContents"/>
              <w:bidi w:val="0"/>
              <w:spacing w:before="0" w:after="0"/>
              <w:jc w:val="left"/>
              <w:rPr/>
            </w:pPr>
            <w:hyperlink w:anchor="tOEAS">
              <w:r>
                <w:rPr>
                  <w:rStyle w:val="InternetLink"/>
                  <w:spacing w:val="-2"/>
                </w:rPr>
                <w:t xml:space="preserve">Options Exercised and Stock Vested in Fiscal Year 2026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4" w:type="dxa"/>
            <w:tcBorders/>
            <w:vAlign w:val="center"/>
          </w:tcPr>
          <w:p>
            <w:pPr>
              <w:pStyle w:val="TableContents"/>
              <w:bidi w:val="0"/>
              <w:spacing w:before="0" w:after="283"/>
              <w:jc w:val="right"/>
              <w:rPr/>
            </w:pPr>
            <w:hyperlink w:anchor="tOEAS">
              <w:r>
                <w:rPr>
                  <w:rStyle w:val="InternetLink"/>
                  <w:spacing w:val="-2"/>
                </w:rPr>
                <w:t>66</w:t>
              </w:r>
            </w:hyperlink>
            <w:hyperlink w:anchor="tOEA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74" w:type="dxa"/>
            <w:tcBorders/>
            <w:shd w:fill="CCEEFF" w:val="clear"/>
            <w:vAlign w:val="center"/>
          </w:tcPr>
          <w:p>
            <w:pPr>
              <w:pStyle w:val="TableContents"/>
              <w:bidi w:val="0"/>
              <w:spacing w:before="0" w:after="0"/>
              <w:jc w:val="left"/>
              <w:rPr/>
            </w:pPr>
            <w:hyperlink w:anchor="tNDCF">
              <w:r>
                <w:rPr>
                  <w:rStyle w:val="InternetLink"/>
                  <w:spacing w:val="-2"/>
                </w:rPr>
                <w:t xml:space="preserve">Nonqualified Deferred Compensation Fiscal Year 2026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4" w:type="dxa"/>
            <w:tcBorders/>
            <w:shd w:fill="CCEEFF" w:val="clear"/>
            <w:vAlign w:val="center"/>
          </w:tcPr>
          <w:p>
            <w:pPr>
              <w:pStyle w:val="TableContents"/>
              <w:bidi w:val="0"/>
              <w:spacing w:before="0" w:after="283"/>
              <w:jc w:val="right"/>
              <w:rPr/>
            </w:pPr>
            <w:hyperlink w:anchor="tNDCF">
              <w:r>
                <w:rPr>
                  <w:rStyle w:val="InternetLink"/>
                  <w:spacing w:val="-2"/>
                </w:rPr>
                <w:t>67</w:t>
              </w:r>
            </w:hyperlink>
            <w:hyperlink w:anchor="tND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74" w:type="dxa"/>
            <w:tcBorders/>
            <w:vAlign w:val="center"/>
          </w:tcPr>
          <w:p>
            <w:pPr>
              <w:pStyle w:val="TableContents"/>
              <w:bidi w:val="0"/>
              <w:spacing w:before="0" w:after="0"/>
              <w:jc w:val="left"/>
              <w:rPr/>
            </w:pPr>
            <w:hyperlink w:anchor="tPPUT">
              <w:r>
                <w:rPr>
                  <w:rStyle w:val="InternetLink"/>
                  <w:spacing w:val="-2"/>
                </w:rPr>
                <w:t xml:space="preserve">Potential Payments upon Termination and/or Change in Control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4" w:type="dxa"/>
            <w:tcBorders/>
            <w:vAlign w:val="center"/>
          </w:tcPr>
          <w:p>
            <w:pPr>
              <w:pStyle w:val="TableContents"/>
              <w:bidi w:val="0"/>
              <w:spacing w:before="0" w:after="283"/>
              <w:jc w:val="right"/>
              <w:rPr/>
            </w:pPr>
            <w:hyperlink w:anchor="tPPUT">
              <w:r>
                <w:rPr>
                  <w:rStyle w:val="InternetLink"/>
                  <w:spacing w:val="-2"/>
                </w:rPr>
                <w:t>68</w:t>
              </w:r>
            </w:hyperlink>
            <w:hyperlink w:anchor="tPPU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74" w:type="dxa"/>
            <w:tcBorders/>
            <w:shd w:fill="CCEEFF" w:val="clear"/>
            <w:vAlign w:val="center"/>
          </w:tcPr>
          <w:p>
            <w:pPr>
              <w:pStyle w:val="TableContents"/>
              <w:bidi w:val="0"/>
              <w:spacing w:before="0" w:after="0"/>
              <w:jc w:val="left"/>
              <w:rPr/>
            </w:pPr>
            <w:hyperlink w:anchor="tCPR">
              <w:r>
                <w:rPr>
                  <w:rStyle w:val="InternetLink"/>
                  <w:spacing w:val="-2"/>
                </w:rPr>
                <w:t xml:space="preserve">CEO Pay Ratio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4" w:type="dxa"/>
            <w:tcBorders/>
            <w:shd w:fill="CCEEFF" w:val="clear"/>
            <w:vAlign w:val="center"/>
          </w:tcPr>
          <w:p>
            <w:pPr>
              <w:pStyle w:val="TableContents"/>
              <w:bidi w:val="0"/>
              <w:spacing w:before="0" w:after="283"/>
              <w:jc w:val="right"/>
              <w:rPr/>
            </w:pPr>
            <w:hyperlink w:anchor="tCPR">
              <w:r>
                <w:rPr>
                  <w:rStyle w:val="InternetLink"/>
                  <w:spacing w:val="-2"/>
                </w:rPr>
                <w:t>75</w:t>
              </w:r>
            </w:hyperlink>
            <w:hyperlink w:anchor="tCP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74" w:type="dxa"/>
            <w:tcBorders/>
            <w:vAlign w:val="center"/>
          </w:tcPr>
          <w:p>
            <w:pPr>
              <w:pStyle w:val="TableContents"/>
              <w:bidi w:val="0"/>
              <w:spacing w:before="0" w:after="0"/>
              <w:jc w:val="left"/>
              <w:rPr/>
            </w:pPr>
            <w:hyperlink w:anchor="tPVP">
              <w:r>
                <w:rPr>
                  <w:rStyle w:val="InternetLink"/>
                  <w:spacing w:val="-2"/>
                </w:rPr>
                <w:t xml:space="preserve">Pay Versus Performance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4" w:type="dxa"/>
            <w:tcBorders/>
            <w:vAlign w:val="center"/>
          </w:tcPr>
          <w:p>
            <w:pPr>
              <w:pStyle w:val="TableContents"/>
              <w:bidi w:val="0"/>
              <w:spacing w:before="0" w:after="283"/>
              <w:jc w:val="right"/>
              <w:rPr/>
            </w:pPr>
            <w:hyperlink w:anchor="tPVP">
              <w:r>
                <w:rPr>
                  <w:rStyle w:val="InternetLink"/>
                  <w:spacing w:val="-2"/>
                </w:rPr>
                <w:t>76</w:t>
              </w:r>
            </w:hyperlink>
            <w:hyperlink w:anchor="tPV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74" w:type="dxa"/>
            <w:tcBorders/>
            <w:shd w:fill="CCEEFF" w:val="clear"/>
            <w:vAlign w:val="center"/>
          </w:tcPr>
          <w:p>
            <w:pPr>
              <w:pStyle w:val="TableContents"/>
              <w:bidi w:val="0"/>
              <w:spacing w:before="0" w:after="0"/>
              <w:jc w:val="left"/>
              <w:rPr/>
            </w:pPr>
            <w:hyperlink w:anchor="tEHSAV">
              <w:r>
                <w:rPr>
                  <w:rStyle w:val="InternetLink"/>
                  <w:b/>
                  <w:color w:val="0068C7"/>
                  <w:spacing w:val="-4"/>
                  <w:sz w:val="28"/>
                </w:rPr>
                <w:t>PROPOSAL 3</w:t>
              </w:r>
            </w:hyperlink>
            <w:r>
              <w:rPr>
                <w:b/>
                <w:color w:val="0068C7"/>
                <w:sz w:val="28"/>
              </w:rPr>
              <w:t xml:space="preserve"> </w:t>
            </w:r>
          </w:p>
          <w:p>
            <w:pPr>
              <w:pStyle w:val="TableContents"/>
              <w:bidi w:val="0"/>
              <w:spacing w:lineRule="atLeast" w:line="240" w:before="40" w:after="283"/>
              <w:jc w:val="left"/>
              <w:rPr/>
            </w:pPr>
            <w:hyperlink w:anchor="tEHSAV">
              <w:r>
                <w:rPr>
                  <w:rStyle w:val="InternetLink"/>
                  <w:b/>
                  <w:spacing w:val="-3"/>
                </w:rPr>
                <w:t xml:space="preserve">RATIFICATION OF THE AUDIT AND RISK COMMITTEE’S SELECTION OF INDEPENDENT REGISTERED </w:t>
                <w:br/>
                <w:t>PUBLIC ACCOUNTING FIRM</w:t>
              </w:r>
            </w:hyperlink>
            <w:r>
              <w:rPr>
                <w:b/>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4" w:type="dxa"/>
            <w:tcBorders/>
            <w:shd w:fill="CCEEFF" w:val="clear"/>
            <w:vAlign w:val="center"/>
          </w:tcPr>
          <w:p>
            <w:pPr>
              <w:pStyle w:val="TableContents"/>
              <w:bidi w:val="0"/>
              <w:spacing w:before="0" w:after="283"/>
              <w:jc w:val="right"/>
              <w:rPr/>
            </w:pPr>
            <w:hyperlink w:anchor="tEHSAV">
              <w:r>
                <w:rPr>
                  <w:rStyle w:val="InternetLink"/>
                  <w:spacing w:val="-2"/>
                </w:rPr>
                <w:t>81</w:t>
              </w:r>
            </w:hyperlink>
            <w:hyperlink w:anchor="tEHSAV">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74" w:type="dxa"/>
            <w:tcBorders/>
            <w:vAlign w:val="center"/>
          </w:tcPr>
          <w:p>
            <w:pPr>
              <w:pStyle w:val="TableContents"/>
              <w:bidi w:val="0"/>
              <w:spacing w:before="0" w:after="0"/>
              <w:jc w:val="left"/>
              <w:rPr/>
            </w:pPr>
            <w:hyperlink w:anchor="tROTA">
              <w:r>
                <w:rPr>
                  <w:rStyle w:val="InternetLink"/>
                  <w:spacing w:val="-2"/>
                </w:rPr>
                <w:t xml:space="preserve">Report of the Audit and Risk Committee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4" w:type="dxa"/>
            <w:tcBorders/>
            <w:vAlign w:val="center"/>
          </w:tcPr>
          <w:p>
            <w:pPr>
              <w:pStyle w:val="TableContents"/>
              <w:bidi w:val="0"/>
              <w:spacing w:before="0" w:after="283"/>
              <w:jc w:val="right"/>
              <w:rPr/>
            </w:pPr>
            <w:hyperlink w:anchor="tROTA">
              <w:r>
                <w:rPr>
                  <w:rStyle w:val="InternetLink"/>
                  <w:spacing w:val="-2"/>
                </w:rPr>
                <w:t>83</w:t>
              </w:r>
            </w:hyperlink>
            <w:hyperlink w:anchor="tROT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74" w:type="dxa"/>
            <w:tcBorders/>
            <w:shd w:fill="CCEEFF" w:val="clear"/>
            <w:vAlign w:val="center"/>
          </w:tcPr>
          <w:p>
            <w:pPr>
              <w:pStyle w:val="TableContents"/>
              <w:bidi w:val="0"/>
              <w:spacing w:before="0" w:after="0"/>
              <w:jc w:val="left"/>
              <w:rPr/>
            </w:pPr>
            <w:hyperlink w:anchor="tGEN">
              <w:r>
                <w:rPr>
                  <w:rStyle w:val="InternetLink"/>
                  <w:spacing w:val="-2"/>
                </w:rPr>
                <w:t xml:space="preserve">General Information about the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4" w:type="dxa"/>
            <w:tcBorders/>
            <w:shd w:fill="CCEEFF" w:val="clear"/>
            <w:vAlign w:val="center"/>
          </w:tcPr>
          <w:p>
            <w:pPr>
              <w:pStyle w:val="TableContents"/>
              <w:bidi w:val="0"/>
              <w:spacing w:before="0" w:after="283"/>
              <w:jc w:val="right"/>
              <w:rPr/>
            </w:pPr>
            <w:hyperlink w:anchor="tGEN">
              <w:r>
                <w:rPr>
                  <w:rStyle w:val="InternetLink"/>
                  <w:spacing w:val="-2"/>
                </w:rPr>
                <w:t>86</w:t>
              </w:r>
            </w:hyperlink>
            <w:hyperlink w:anchor="tGE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74" w:type="dxa"/>
            <w:tcBorders/>
            <w:vAlign w:val="center"/>
          </w:tcPr>
          <w:p>
            <w:pPr>
              <w:pStyle w:val="TableContents"/>
              <w:bidi w:val="0"/>
              <w:spacing w:before="0" w:after="0"/>
              <w:jc w:val="left"/>
              <w:rPr/>
            </w:pPr>
            <w:hyperlink w:anchor="tOTIN">
              <w:r>
                <w:rPr>
                  <w:rStyle w:val="InternetLink"/>
                  <w:spacing w:val="-2"/>
                </w:rPr>
                <w:t xml:space="preserve">Other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4" w:type="dxa"/>
            <w:tcBorders/>
            <w:vAlign w:val="center"/>
          </w:tcPr>
          <w:p>
            <w:pPr>
              <w:pStyle w:val="TableContents"/>
              <w:bidi w:val="0"/>
              <w:spacing w:before="0" w:after="283"/>
              <w:jc w:val="right"/>
              <w:rPr/>
            </w:pPr>
            <w:hyperlink w:anchor="tOTIN">
              <w:r>
                <w:rPr>
                  <w:rStyle w:val="InternetLink"/>
                  <w:spacing w:val="-2"/>
                </w:rPr>
                <w:t>89</w:t>
              </w:r>
            </w:hyperlink>
            <w:hyperlink w:anchor="tOTI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74" w:type="dxa"/>
            <w:tcBorders/>
            <w:shd w:fill="CCEEFF" w:val="clear"/>
            <w:vAlign w:val="center"/>
          </w:tcPr>
          <w:p>
            <w:pPr>
              <w:pStyle w:val="TableContents"/>
              <w:bidi w:val="0"/>
              <w:spacing w:before="0" w:after="0"/>
              <w:jc w:val="left"/>
              <w:rPr/>
            </w:pPr>
            <w:hyperlink w:anchor="tOTMA">
              <w:r>
                <w:rPr>
                  <w:rStyle w:val="InternetLink"/>
                  <w:spacing w:val="-2"/>
                </w:rPr>
                <w:t xml:space="preserve">Other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4" w:type="dxa"/>
            <w:tcBorders/>
            <w:shd w:fill="CCEEFF" w:val="clear"/>
            <w:vAlign w:val="center"/>
          </w:tcPr>
          <w:p>
            <w:pPr>
              <w:pStyle w:val="TableContents"/>
              <w:bidi w:val="0"/>
              <w:spacing w:before="0" w:after="283"/>
              <w:jc w:val="right"/>
              <w:rPr/>
            </w:pPr>
            <w:hyperlink w:anchor="tOTMA">
              <w:r>
                <w:rPr>
                  <w:rStyle w:val="InternetLink"/>
                  <w:spacing w:val="-2"/>
                </w:rPr>
                <w:t>89</w:t>
              </w:r>
            </w:hyperlink>
            <w:hyperlink w:anchor="tOT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74" w:type="dxa"/>
            <w:tcBorders/>
            <w:vAlign w:val="center"/>
          </w:tcPr>
          <w:p>
            <w:pPr>
              <w:pStyle w:val="TableContents"/>
              <w:bidi w:val="0"/>
              <w:spacing w:before="0" w:after="0"/>
              <w:jc w:val="left"/>
              <w:rPr/>
            </w:pPr>
            <w:hyperlink w:anchor="tAROF">
              <w:r>
                <w:rPr>
                  <w:rStyle w:val="InternetLink"/>
                  <w:spacing w:val="-2"/>
                </w:rPr>
                <w:t xml:space="preserve">Annual Report on Form 10-K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4" w:type="dxa"/>
            <w:tcBorders/>
            <w:vAlign w:val="center"/>
          </w:tcPr>
          <w:p>
            <w:pPr>
              <w:pStyle w:val="TableContents"/>
              <w:bidi w:val="0"/>
              <w:spacing w:before="0" w:after="283"/>
              <w:jc w:val="right"/>
              <w:rPr/>
            </w:pPr>
            <w:hyperlink w:anchor="tAROF">
              <w:r>
                <w:rPr>
                  <w:rStyle w:val="InternetLink"/>
                  <w:spacing w:val="-2"/>
                </w:rPr>
                <w:t>90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2</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4" w:name="tVMAB"/>
      <w:bookmarkEnd w:id="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640" w:before="120" w:after="3020"/>
        <w:ind w:left="893" w:right="40" w:hanging="0"/>
        <w:jc w:val="left"/>
        <w:rPr>
          <w:rFonts w:ascii="Tahoma;Geneva;sans-serif" w:hAnsi="Tahoma;Geneva;sans-serif"/>
          <w:b/>
          <w:i w:val="false"/>
          <w:caps w:val="false"/>
          <w:smallCaps w:val="false"/>
          <w:color w:val="0068C7"/>
          <w:sz w:val="60"/>
          <w:shd w:fill="FFFFFF" w:val="clear"/>
        </w:rPr>
      </w:pPr>
      <w:r>
        <w:rPr>
          <w:rFonts w:ascii="Tahoma;Geneva;sans-serif" w:hAnsi="Tahoma;Geneva;sans-serif"/>
          <w:b/>
          <w:i w:val="false"/>
          <w:caps w:val="false"/>
          <w:smallCaps w:val="false"/>
          <w:color w:val="0068C7"/>
          <w:sz w:val="60"/>
          <w:shd w:fill="FFFFFF" w:val="clear"/>
        </w:rPr>
        <w:t>VOTING MATTERS AND BOARD RECOMMENDATIONS</w:t>
      </w:r>
      <w:r>
        <w:rPr>
          <w:rFonts w:ascii="Tahoma;Geneva;sans-serif" w:hAnsi="Tahoma;Geneva;sans-serif"/>
          <w:b/>
          <w:i w:val="false"/>
          <w:caps w:val="false"/>
          <w:smallCaps w:val="false"/>
          <w:color w:val="000000"/>
          <w:spacing w:val="12"/>
          <w:sz w:val="60"/>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3097"/>
        <w:gridCol w:w="109"/>
        <w:gridCol w:w="109"/>
        <w:gridCol w:w="1717"/>
        <w:gridCol w:w="109"/>
        <w:gridCol w:w="109"/>
        <w:gridCol w:w="1831"/>
        <w:gridCol w:w="109"/>
        <w:gridCol w:w="109"/>
        <w:gridCol w:w="1816"/>
        <w:gridCol w:w="157"/>
      </w:tblGrid>
      <w:tr>
        <w:trPr/>
        <w:tc>
          <w:tcPr>
            <w:tcW w:w="3097" w:type="dxa"/>
            <w:tcBorders/>
            <w:vAlign w:val="center"/>
          </w:tcPr>
          <w:p>
            <w:pPr>
              <w:pStyle w:val="TableContents"/>
              <w:bidi w:val="0"/>
              <w:spacing w:before="0" w:after="0"/>
              <w:jc w:val="left"/>
              <w:rPr/>
            </w:pPr>
            <w:r>
              <w:rPr/>
              <w:t xml:space="preserve">MANAGEMENT PROPOSALS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283"/>
              <w:jc w:val="left"/>
              <w:rPr/>
            </w:pPr>
            <w:r>
              <w:rPr/>
              <w:t xml:space="preserve">BOARD </w:t>
              <w:br/>
              <w:t xml:space="preserve">RECOMMENDS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16" w:type="dxa"/>
            <w:tcBorders/>
            <w:vAlign w:val="center"/>
          </w:tcPr>
          <w:p>
            <w:pPr>
              <w:pStyle w:val="TableContents"/>
              <w:bidi w:val="0"/>
              <w:spacing w:before="0" w:after="283"/>
              <w:jc w:val="left"/>
              <w:rPr/>
            </w:pPr>
            <w:r>
              <w:rPr/>
              <w:t xml:space="preserve">FOR MORE </w:t>
              <w:br/>
              <w:t xml:space="preserve">INFORMATION </w:t>
            </w:r>
          </w:p>
        </w:tc>
        <w:tc>
          <w:tcPr>
            <w:tcW w:w="157" w:type="dxa"/>
            <w:tcBorders/>
            <w:vAlign w:val="center"/>
          </w:tcPr>
          <w:p>
            <w:pPr>
              <w:pStyle w:val="TableContents"/>
              <w:bidi w:val="0"/>
              <w:spacing w:before="0" w:after="283"/>
              <w:jc w:val="left"/>
              <w:rPr/>
            </w:pPr>
            <w:r>
              <w:rPr/>
              <w:t>​</w:t>
            </w:r>
          </w:p>
        </w:tc>
      </w:tr>
      <w:tr>
        <w:trPr/>
        <w:tc>
          <w:tcPr>
            <w:tcW w:w="3097" w:type="dxa"/>
            <w:tcBorders>
              <w:bottom w:val="single" w:sz="6" w:space="0" w:color="666666"/>
            </w:tcBorders>
            <w:tcMar>
              <w:bottom w:w="1410" w:type="dxa"/>
            </w:tcMar>
            <w:vAlign w:val="center"/>
          </w:tcPr>
          <w:p>
            <w:pPr>
              <w:pStyle w:val="TableContents"/>
              <w:bidi w:val="0"/>
              <w:spacing w:lineRule="atLeast" w:line="660" w:before="0" w:after="0"/>
              <w:jc w:val="left"/>
              <w:rPr>
                <w:rFonts w:ascii="Tahoma;Geneva;sans-serif" w:hAnsi="Tahoma;Geneva;sans-serif"/>
                <w:b/>
                <w:sz w:val="60"/>
              </w:rPr>
            </w:pPr>
            <w:r>
              <w:rPr>
                <w:rFonts w:ascii="Tahoma;Geneva;sans-serif" w:hAnsi="Tahoma;Geneva;sans-serif"/>
                <w:b/>
                <w:sz w:val="60"/>
              </w:rPr>
              <w:t>PROPOSAL 1​</w:t>
            </w:r>
          </w:p>
          <w:p>
            <w:pPr>
              <w:pStyle w:val="TableContents"/>
              <w:bidi w:val="0"/>
              <w:spacing w:lineRule="atLeast" w:line="245" w:before="60" w:after="283"/>
              <w:jc w:val="left"/>
              <w:rPr>
                <w:b/>
                <w:color w:val="4C4C4C"/>
              </w:rPr>
            </w:pPr>
            <w:r>
              <w:rPr>
                <w:b/>
                <w:color w:val="4C4C4C"/>
                <w:spacing w:val="0"/>
              </w:rPr>
              <w:t>Election of directors</w:t>
            </w:r>
            <w:r>
              <w:rPr>
                <w:b/>
                <w:color w:val="4C4C4C"/>
              </w:rPr>
              <w:t xml:space="preserve"> </w:t>
            </w:r>
          </w:p>
        </w:tc>
        <w:tc>
          <w:tcPr>
            <w:tcW w:w="109" w:type="dxa"/>
            <w:tcBorders>
              <w:bottom w:val="single" w:sz="6" w:space="0" w:color="666666"/>
            </w:tcBorders>
            <w:tcMar>
              <w:bottom w:w="28" w:type="dxa"/>
            </w:tcMar>
            <w:vAlign w:val="center"/>
          </w:tcPr>
          <w:p>
            <w:pPr>
              <w:pStyle w:val="TableContents"/>
              <w:bidi w:val="0"/>
              <w:spacing w:before="0" w:after="283"/>
              <w:jc w:val="left"/>
              <w:rPr/>
            </w:pPr>
            <w:r>
              <w:rPr/>
              <w:t>​</w:t>
            </w:r>
          </w:p>
        </w:tc>
        <w:tc>
          <w:tcPr>
            <w:tcW w:w="109" w:type="dxa"/>
            <w:tcBorders>
              <w:bottom w:val="single" w:sz="6" w:space="0" w:color="666666"/>
            </w:tcBorders>
            <w:tcMar>
              <w:bottom w:w="28" w:type="dxa"/>
            </w:tcMar>
            <w:vAlign w:val="center"/>
          </w:tcPr>
          <w:p>
            <w:pPr>
              <w:pStyle w:val="TableContents"/>
              <w:bidi w:val="0"/>
              <w:spacing w:before="0" w:after="283"/>
              <w:jc w:val="left"/>
              <w:rPr/>
            </w:pPr>
            <w:r>
              <w:rPr/>
              <w:t>​</w:t>
            </w:r>
          </w:p>
        </w:tc>
        <w:tc>
          <w:tcPr>
            <w:tcW w:w="1717" w:type="dxa"/>
            <w:tcBorders>
              <w:bottom w:val="single" w:sz="6" w:space="0" w:color="666666"/>
            </w:tcBorders>
            <w:tcMar>
              <w:bottom w:w="355" w:type="dxa"/>
            </w:tcMar>
            <w:vAlign w:val="center"/>
          </w:tcPr>
          <w:p>
            <w:pPr>
              <w:pStyle w:val="TableContents"/>
              <w:bidi w:val="0"/>
              <w:spacing w:lineRule="atLeast" w:line="245" w:before="0" w:after="0"/>
              <w:jc w:val="left"/>
              <w:rPr>
                <w:spacing w:val="-1"/>
              </w:rPr>
            </w:pPr>
            <w:r>
              <w:rPr>
                <w:spacing w:val="-1"/>
              </w:rPr>
              <w:t xml:space="preserve">Coherent’s Board is presenting four nominees, Joesph J. Corasanti, Patricia Hatter, Stephen A. Skaggs, and Sandeep Vij for election as Class Three directors at the Annual Meeting. Coherent believes that these nominees possess diverse skills and experiences necessary to effectively address its evolving needs and represent the best interests of its shareholders. </w:t>
            </w:r>
          </w:p>
        </w:tc>
        <w:tc>
          <w:tcPr>
            <w:tcW w:w="109" w:type="dxa"/>
            <w:tcBorders>
              <w:bottom w:val="single" w:sz="6" w:space="0" w:color="666666"/>
            </w:tcBorders>
            <w:tcMar>
              <w:bottom w:w="28" w:type="dxa"/>
            </w:tcMar>
            <w:vAlign w:val="center"/>
          </w:tcPr>
          <w:p>
            <w:pPr>
              <w:pStyle w:val="TableContents"/>
              <w:bidi w:val="0"/>
              <w:spacing w:before="0" w:after="283"/>
              <w:jc w:val="left"/>
              <w:rPr/>
            </w:pPr>
            <w:r>
              <w:rPr/>
              <w:t>​</w:t>
            </w:r>
          </w:p>
        </w:tc>
        <w:tc>
          <w:tcPr>
            <w:tcW w:w="109" w:type="dxa"/>
            <w:tcBorders>
              <w:bottom w:val="single" w:sz="6" w:space="0" w:color="666666"/>
            </w:tcBorders>
            <w:tcMar>
              <w:bottom w:w="28" w:type="dxa"/>
            </w:tcMar>
            <w:vAlign w:val="center"/>
          </w:tcPr>
          <w:p>
            <w:pPr>
              <w:pStyle w:val="TableContents"/>
              <w:bidi w:val="0"/>
              <w:spacing w:before="0" w:after="283"/>
              <w:jc w:val="left"/>
              <w:rPr/>
            </w:pPr>
            <w:r>
              <w:rPr/>
              <w:t>​</w:t>
            </w:r>
          </w:p>
        </w:tc>
        <w:tc>
          <w:tcPr>
            <w:tcW w:w="1831" w:type="dxa"/>
            <w:tcBorders>
              <w:bottom w:val="single" w:sz="6" w:space="0" w:color="666666"/>
            </w:tcBorders>
            <w:tcMar>
              <w:bottom w:w="1185" w:type="dxa"/>
            </w:tcMar>
            <w:vAlign w:val="center"/>
          </w:tcPr>
          <w:p>
            <w:pPr>
              <w:pStyle w:val="TableContents"/>
              <w:bidi w:val="0"/>
              <w:spacing w:before="0" w:after="0"/>
              <w:jc w:val="left"/>
              <w:rPr/>
            </w:pPr>
            <w:r>
              <w:rPr/>
              <w:drawing>
                <wp:inline distT="0" distB="0" distL="0" distR="0">
                  <wp:extent cx="238125" cy="219075"/>
                  <wp:effectExtent l="0" t="0" r="0" b="0"/>
                  <wp:docPr id="2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3" descr=""/>
                          <pic:cNvPicPr>
                            <a:picLocks noChangeAspect="1" noChangeArrowheads="1"/>
                          </pic:cNvPicPr>
                        </pic:nvPicPr>
                        <pic:blipFill>
                          <a:blip r:embed="rId10"/>
                          <a:stretch>
                            <a:fillRect/>
                          </a:stretch>
                        </pic:blipFill>
                        <pic:spPr bwMode="auto">
                          <a:xfrm>
                            <a:off x="0" y="0"/>
                            <a:ext cx="238125" cy="219075"/>
                          </a:xfrm>
                          <a:prstGeom prst="rect">
                            <a:avLst/>
                          </a:prstGeom>
                        </pic:spPr>
                      </pic:pic>
                    </a:graphicData>
                  </a:graphic>
                </wp:inline>
              </w:drawing>
            </w:r>
            <w:r>
              <w:rPr/>
              <w:t xml:space="preserve"> </w:t>
            </w:r>
          </w:p>
          <w:p>
            <w:pPr>
              <w:pStyle w:val="TableContents"/>
              <w:bidi w:val="0"/>
              <w:spacing w:lineRule="atLeast" w:line="240" w:before="325" w:after="283"/>
              <w:jc w:val="left"/>
              <w:rPr>
                <w:b/>
                <w:sz w:val="16"/>
              </w:rPr>
            </w:pPr>
            <w:r>
              <w:rPr>
                <w:b/>
                <w:sz w:val="16"/>
              </w:rPr>
              <w:t>FOR Each</w:t>
              <w:br/>
              <w:t>Nominee​</w:t>
            </w:r>
          </w:p>
        </w:tc>
        <w:tc>
          <w:tcPr>
            <w:tcW w:w="109" w:type="dxa"/>
            <w:tcBorders>
              <w:bottom w:val="single" w:sz="6" w:space="0" w:color="666666"/>
            </w:tcBorders>
            <w:tcMar>
              <w:bottom w:w="28" w:type="dxa"/>
            </w:tcMar>
            <w:vAlign w:val="center"/>
          </w:tcPr>
          <w:p>
            <w:pPr>
              <w:pStyle w:val="TableContents"/>
              <w:bidi w:val="0"/>
              <w:spacing w:before="0" w:after="283"/>
              <w:jc w:val="left"/>
              <w:rPr/>
            </w:pPr>
            <w:r>
              <w:rPr/>
              <w:t>​</w:t>
            </w:r>
          </w:p>
        </w:tc>
        <w:tc>
          <w:tcPr>
            <w:tcW w:w="109" w:type="dxa"/>
            <w:tcBorders>
              <w:bottom w:val="single" w:sz="6" w:space="0" w:color="666666"/>
            </w:tcBorders>
            <w:tcMar>
              <w:bottom w:w="28" w:type="dxa"/>
            </w:tcMar>
            <w:vAlign w:val="center"/>
          </w:tcPr>
          <w:p>
            <w:pPr>
              <w:pStyle w:val="TableContents"/>
              <w:bidi w:val="0"/>
              <w:spacing w:before="0" w:after="283"/>
              <w:jc w:val="left"/>
              <w:rPr/>
            </w:pPr>
            <w:r>
              <w:rPr/>
              <w:t>​</w:t>
            </w:r>
          </w:p>
        </w:tc>
        <w:tc>
          <w:tcPr>
            <w:tcW w:w="1816" w:type="dxa"/>
            <w:tcBorders>
              <w:bottom w:val="single" w:sz="6" w:space="0" w:color="666666"/>
            </w:tcBorders>
            <w:tcMar>
              <w:bottom w:w="2135" w:type="dxa"/>
            </w:tcMar>
            <w:vAlign w:val="center"/>
          </w:tcPr>
          <w:p>
            <w:pPr>
              <w:pStyle w:val="TableContents"/>
              <w:bidi w:val="0"/>
              <w:spacing w:lineRule="atLeast" w:line="300" w:before="0" w:after="0"/>
              <w:jc w:val="left"/>
              <w:rPr/>
            </w:pPr>
            <w:r>
              <w:rPr>
                <w:rFonts w:ascii="Tahoma;Geneva;sans-serif" w:hAnsi="Tahoma;Geneva;sans-serif"/>
                <w:b/>
                <w:sz w:val="24"/>
              </w:rPr>
              <w:t xml:space="preserve">Page </w:t>
            </w:r>
            <w:hyperlink w:anchor="tTBIDV">
              <w:r>
                <w:rPr>
                  <w:rStyle w:val="InternetLink"/>
                  <w:rFonts w:ascii="Tahoma;Geneva;sans-serif" w:hAnsi="Tahoma;Geneva;sans-serif"/>
                  <w:b/>
                  <w:sz w:val="24"/>
                </w:rPr>
                <w:t>9</w:t>
              </w:r>
            </w:hyperlink>
            <w:r>
              <w:rPr>
                <w:rFonts w:ascii="Tahoma;Geneva;sans-serif" w:hAnsi="Tahoma;Geneva;sans-serif"/>
                <w:b/>
                <w:sz w:val="24"/>
              </w:rPr>
              <w:t>​</w:t>
            </w:r>
          </w:p>
        </w:tc>
        <w:tc>
          <w:tcPr>
            <w:tcW w:w="157" w:type="dxa"/>
            <w:tcBorders>
              <w:bottom w:val="single" w:sz="6" w:space="0" w:color="666666"/>
            </w:tcBorders>
            <w:tcMar>
              <w:bottom w:w="28" w:type="dxa"/>
            </w:tcMar>
            <w:vAlign w:val="center"/>
          </w:tcPr>
          <w:p>
            <w:pPr>
              <w:pStyle w:val="TableContents"/>
              <w:bidi w:val="0"/>
              <w:spacing w:before="0" w:after="283"/>
              <w:jc w:val="left"/>
              <w:rPr/>
            </w:pPr>
            <w:r>
              <w:rPr/>
              <w:t>​</w:t>
            </w:r>
          </w:p>
        </w:tc>
      </w:tr>
      <w:tr>
        <w:trPr/>
        <w:tc>
          <w:tcPr>
            <w:tcW w:w="3097" w:type="dxa"/>
            <w:tcBorders>
              <w:bottom w:val="single" w:sz="6" w:space="0" w:color="666666"/>
            </w:tcBorders>
            <w:tcMar>
              <w:bottom w:w="355" w:type="dxa"/>
            </w:tcMar>
            <w:vAlign w:val="center"/>
          </w:tcPr>
          <w:p>
            <w:pPr>
              <w:pStyle w:val="TableContents"/>
              <w:bidi w:val="0"/>
              <w:spacing w:lineRule="atLeast" w:line="660" w:before="0" w:after="0"/>
              <w:jc w:val="left"/>
              <w:rPr>
                <w:rFonts w:ascii="Tahoma;Geneva;sans-serif" w:hAnsi="Tahoma;Geneva;sans-serif"/>
                <w:b/>
                <w:sz w:val="60"/>
              </w:rPr>
            </w:pPr>
            <w:r>
              <w:rPr>
                <w:rFonts w:ascii="Tahoma;Geneva;sans-serif" w:hAnsi="Tahoma;Geneva;sans-serif"/>
                <w:b/>
                <w:sz w:val="60"/>
              </w:rPr>
              <w:t>PROPOSAL 2​</w:t>
            </w:r>
          </w:p>
          <w:p>
            <w:pPr>
              <w:pStyle w:val="TableContents"/>
              <w:bidi w:val="0"/>
              <w:spacing w:lineRule="atLeast" w:line="245" w:before="60" w:after="283"/>
              <w:jc w:val="left"/>
              <w:rPr>
                <w:b/>
                <w:color w:val="4C4C4C"/>
              </w:rPr>
            </w:pPr>
            <w:r>
              <w:rPr>
                <w:b/>
                <w:color w:val="4C4C4C"/>
                <w:spacing w:val="0"/>
              </w:rPr>
              <w:t>Non-binding advisory vote to approve fiscal year 2026 Named Executive Officer compensation</w:t>
            </w:r>
            <w:r>
              <w:rPr>
                <w:b/>
                <w:color w:val="4C4C4C"/>
              </w:rPr>
              <w:t xml:space="preserve"> </w:t>
            </w:r>
          </w:p>
        </w:tc>
        <w:tc>
          <w:tcPr>
            <w:tcW w:w="109" w:type="dxa"/>
            <w:tcBorders>
              <w:bottom w:val="single" w:sz="6" w:space="0" w:color="666666"/>
            </w:tcBorders>
            <w:tcMar>
              <w:bottom w:w="28" w:type="dxa"/>
            </w:tcMar>
            <w:vAlign w:val="center"/>
          </w:tcPr>
          <w:p>
            <w:pPr>
              <w:pStyle w:val="TableContents"/>
              <w:bidi w:val="0"/>
              <w:spacing w:before="0" w:after="283"/>
              <w:jc w:val="left"/>
              <w:rPr/>
            </w:pPr>
            <w:r>
              <w:rPr/>
              <w:t>​</w:t>
            </w:r>
          </w:p>
        </w:tc>
        <w:tc>
          <w:tcPr>
            <w:tcW w:w="109" w:type="dxa"/>
            <w:tcBorders>
              <w:bottom w:val="single" w:sz="6" w:space="0" w:color="666666"/>
            </w:tcBorders>
            <w:tcMar>
              <w:bottom w:w="28" w:type="dxa"/>
            </w:tcMar>
            <w:vAlign w:val="center"/>
          </w:tcPr>
          <w:p>
            <w:pPr>
              <w:pStyle w:val="TableContents"/>
              <w:bidi w:val="0"/>
              <w:spacing w:before="0" w:after="283"/>
              <w:jc w:val="left"/>
              <w:rPr/>
            </w:pPr>
            <w:r>
              <w:rPr/>
              <w:t>​</w:t>
            </w:r>
          </w:p>
        </w:tc>
        <w:tc>
          <w:tcPr>
            <w:tcW w:w="1717" w:type="dxa"/>
            <w:tcBorders>
              <w:bottom w:val="single" w:sz="6" w:space="0" w:color="666666"/>
            </w:tcBorders>
            <w:tcMar>
              <w:bottom w:w="770" w:type="dxa"/>
            </w:tcMar>
            <w:vAlign w:val="center"/>
          </w:tcPr>
          <w:p>
            <w:pPr>
              <w:pStyle w:val="TableContents"/>
              <w:bidi w:val="0"/>
              <w:spacing w:lineRule="atLeast" w:line="245" w:before="0" w:after="0"/>
              <w:jc w:val="left"/>
              <w:rPr>
                <w:spacing w:val="-1"/>
              </w:rPr>
            </w:pPr>
            <w:r>
              <w:rPr>
                <w:spacing w:val="-1"/>
              </w:rPr>
              <w:t xml:space="preserve">Coherent’s executive compensation program strongly aligns named executive officers’ interests with those of the Company and its shareholders, and is designed to attract and retain high-caliber talent. </w:t>
            </w:r>
          </w:p>
        </w:tc>
        <w:tc>
          <w:tcPr>
            <w:tcW w:w="109" w:type="dxa"/>
            <w:tcBorders>
              <w:bottom w:val="single" w:sz="6" w:space="0" w:color="666666"/>
            </w:tcBorders>
            <w:tcMar>
              <w:bottom w:w="28" w:type="dxa"/>
            </w:tcMar>
            <w:vAlign w:val="center"/>
          </w:tcPr>
          <w:p>
            <w:pPr>
              <w:pStyle w:val="TableContents"/>
              <w:bidi w:val="0"/>
              <w:spacing w:before="0" w:after="283"/>
              <w:jc w:val="left"/>
              <w:rPr/>
            </w:pPr>
            <w:r>
              <w:rPr/>
              <w:t>​</w:t>
            </w:r>
          </w:p>
        </w:tc>
        <w:tc>
          <w:tcPr>
            <w:tcW w:w="109" w:type="dxa"/>
            <w:tcBorders>
              <w:bottom w:val="single" w:sz="6" w:space="0" w:color="666666"/>
            </w:tcBorders>
            <w:tcMar>
              <w:bottom w:w="28" w:type="dxa"/>
            </w:tcMar>
            <w:vAlign w:val="center"/>
          </w:tcPr>
          <w:p>
            <w:pPr>
              <w:pStyle w:val="TableContents"/>
              <w:bidi w:val="0"/>
              <w:spacing w:before="0" w:after="283"/>
              <w:jc w:val="left"/>
              <w:rPr/>
            </w:pPr>
            <w:r>
              <w:rPr/>
              <w:t>​</w:t>
            </w:r>
          </w:p>
        </w:tc>
        <w:tc>
          <w:tcPr>
            <w:tcW w:w="1831" w:type="dxa"/>
            <w:tcBorders>
              <w:bottom w:val="single" w:sz="6" w:space="0" w:color="666666"/>
            </w:tcBorders>
            <w:tcMar>
              <w:bottom w:w="1085" w:type="dxa"/>
            </w:tcMar>
            <w:vAlign w:val="center"/>
          </w:tcPr>
          <w:p>
            <w:pPr>
              <w:pStyle w:val="TableContents"/>
              <w:bidi w:val="0"/>
              <w:spacing w:before="0" w:after="0"/>
              <w:jc w:val="left"/>
              <w:rPr/>
            </w:pPr>
            <w:r>
              <w:rPr/>
              <w:drawing>
                <wp:inline distT="0" distB="0" distL="0" distR="0">
                  <wp:extent cx="238125" cy="219075"/>
                  <wp:effectExtent l="0" t="0" r="0" b="0"/>
                  <wp:docPr id="2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4" descr=""/>
                          <pic:cNvPicPr>
                            <a:picLocks noChangeAspect="1" noChangeArrowheads="1"/>
                          </pic:cNvPicPr>
                        </pic:nvPicPr>
                        <pic:blipFill>
                          <a:blip r:embed="rId11"/>
                          <a:stretch>
                            <a:fillRect/>
                          </a:stretch>
                        </pic:blipFill>
                        <pic:spPr bwMode="auto">
                          <a:xfrm>
                            <a:off x="0" y="0"/>
                            <a:ext cx="238125" cy="219075"/>
                          </a:xfrm>
                          <a:prstGeom prst="rect">
                            <a:avLst/>
                          </a:prstGeom>
                        </pic:spPr>
                      </pic:pic>
                    </a:graphicData>
                  </a:graphic>
                </wp:inline>
              </w:drawing>
            </w:r>
            <w:r>
              <w:rPr/>
              <w:t xml:space="preserve"> </w:t>
            </w:r>
          </w:p>
          <w:p>
            <w:pPr>
              <w:pStyle w:val="TableContents"/>
              <w:bidi w:val="0"/>
              <w:spacing w:lineRule="atLeast" w:line="220" w:before="325" w:after="283"/>
              <w:jc w:val="left"/>
              <w:rPr>
                <w:b/>
                <w:sz w:val="16"/>
              </w:rPr>
            </w:pPr>
            <w:r>
              <w:rPr>
                <w:b/>
                <w:sz w:val="16"/>
              </w:rPr>
              <w:t>FOR​</w:t>
            </w:r>
          </w:p>
        </w:tc>
        <w:tc>
          <w:tcPr>
            <w:tcW w:w="109" w:type="dxa"/>
            <w:tcBorders>
              <w:bottom w:val="single" w:sz="6" w:space="0" w:color="666666"/>
            </w:tcBorders>
            <w:tcMar>
              <w:bottom w:w="28" w:type="dxa"/>
            </w:tcMar>
            <w:vAlign w:val="center"/>
          </w:tcPr>
          <w:p>
            <w:pPr>
              <w:pStyle w:val="TableContents"/>
              <w:bidi w:val="0"/>
              <w:spacing w:before="0" w:after="283"/>
              <w:jc w:val="left"/>
              <w:rPr/>
            </w:pPr>
            <w:r>
              <w:rPr/>
              <w:t>​</w:t>
            </w:r>
          </w:p>
        </w:tc>
        <w:tc>
          <w:tcPr>
            <w:tcW w:w="109" w:type="dxa"/>
            <w:tcBorders>
              <w:bottom w:val="single" w:sz="6" w:space="0" w:color="666666"/>
            </w:tcBorders>
            <w:tcMar>
              <w:bottom w:w="28" w:type="dxa"/>
            </w:tcMar>
            <w:vAlign w:val="center"/>
          </w:tcPr>
          <w:p>
            <w:pPr>
              <w:pStyle w:val="TableContents"/>
              <w:bidi w:val="0"/>
              <w:spacing w:before="0" w:after="283"/>
              <w:jc w:val="left"/>
              <w:rPr/>
            </w:pPr>
            <w:r>
              <w:rPr/>
              <w:t>​</w:t>
            </w:r>
          </w:p>
        </w:tc>
        <w:tc>
          <w:tcPr>
            <w:tcW w:w="1816" w:type="dxa"/>
            <w:tcBorders>
              <w:bottom w:val="single" w:sz="6" w:space="0" w:color="666666"/>
            </w:tcBorders>
            <w:tcMar>
              <w:bottom w:w="1695" w:type="dxa"/>
            </w:tcMar>
            <w:vAlign w:val="center"/>
          </w:tcPr>
          <w:p>
            <w:pPr>
              <w:pStyle w:val="TableContents"/>
              <w:bidi w:val="0"/>
              <w:spacing w:lineRule="atLeast" w:line="240" w:before="0" w:after="0"/>
              <w:jc w:val="left"/>
              <w:rPr/>
            </w:pPr>
            <w:r>
              <w:rPr>
                <w:rFonts w:ascii="Tahoma;Geneva;sans-serif" w:hAnsi="Tahoma;Geneva;sans-serif"/>
                <w:b/>
                <w:sz w:val="24"/>
              </w:rPr>
              <w:t xml:space="preserve">Page </w:t>
            </w:r>
            <w:hyperlink w:anchor="tIAWTV">
              <w:r>
                <w:rPr>
                  <w:rStyle w:val="InternetLink"/>
                  <w:rFonts w:ascii="Tahoma;Geneva;sans-serif" w:hAnsi="Tahoma;Geneva;sans-serif"/>
                  <w:b/>
                  <w:sz w:val="24"/>
                </w:rPr>
                <w:t>38</w:t>
              </w:r>
            </w:hyperlink>
            <w:r>
              <w:rPr>
                <w:rFonts w:ascii="Tahoma;Geneva;sans-serif" w:hAnsi="Tahoma;Geneva;sans-serif"/>
                <w:b/>
                <w:sz w:val="24"/>
              </w:rPr>
              <w:t>​</w:t>
            </w:r>
          </w:p>
        </w:tc>
        <w:tc>
          <w:tcPr>
            <w:tcW w:w="157" w:type="dxa"/>
            <w:tcBorders>
              <w:bottom w:val="single" w:sz="6" w:space="0" w:color="666666"/>
            </w:tcBorders>
            <w:tcMar>
              <w:bottom w:w="28" w:type="dxa"/>
            </w:tcMar>
            <w:vAlign w:val="center"/>
          </w:tcPr>
          <w:p>
            <w:pPr>
              <w:pStyle w:val="TableContents"/>
              <w:bidi w:val="0"/>
              <w:spacing w:before="0" w:after="283"/>
              <w:jc w:val="left"/>
              <w:rPr/>
            </w:pPr>
            <w:r>
              <w:rPr/>
              <w:t>​</w:t>
            </w:r>
          </w:p>
        </w:tc>
      </w:tr>
      <w:tr>
        <w:trPr/>
        <w:tc>
          <w:tcPr>
            <w:tcW w:w="3097" w:type="dxa"/>
            <w:tcBorders/>
            <w:vAlign w:val="center"/>
          </w:tcPr>
          <w:p>
            <w:pPr>
              <w:pStyle w:val="TableContents"/>
              <w:bidi w:val="0"/>
              <w:spacing w:lineRule="atLeast" w:line="660" w:before="0" w:after="0"/>
              <w:jc w:val="left"/>
              <w:rPr>
                <w:rFonts w:ascii="Tahoma;Geneva;sans-serif" w:hAnsi="Tahoma;Geneva;sans-serif"/>
                <w:sz w:val="60"/>
              </w:rPr>
            </w:pPr>
            <w:r>
              <w:rPr>
                <w:rFonts w:ascii="Tahoma;Geneva;sans-serif" w:hAnsi="Tahoma;Geneva;sans-serif"/>
                <w:sz w:val="60"/>
              </w:rPr>
              <w:t>PROPOSAL 3​</w:t>
            </w:r>
          </w:p>
          <w:p>
            <w:pPr>
              <w:pStyle w:val="TableContents"/>
              <w:bidi w:val="0"/>
              <w:spacing w:lineRule="atLeast" w:line="245" w:before="60" w:after="283"/>
              <w:jc w:val="left"/>
              <w:rPr>
                <w:color w:val="4C4C4C"/>
              </w:rPr>
            </w:pPr>
            <w:r>
              <w:rPr>
                <w:color w:val="4C4C4C"/>
                <w:spacing w:val="0"/>
              </w:rPr>
              <w:t>Ratification of the Audit and Risk Committee’s selection of E&amp;Y as the Company’s independent registered public accounting firm for fiscal year 2027</w:t>
            </w:r>
            <w:r>
              <w:rPr>
                <w:color w:val="4C4C4C"/>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7" w:type="dxa"/>
            <w:tcBorders/>
            <w:vAlign w:val="center"/>
          </w:tcPr>
          <w:p>
            <w:pPr>
              <w:pStyle w:val="TableContents"/>
              <w:bidi w:val="0"/>
              <w:spacing w:lineRule="atLeast" w:line="245" w:before="0" w:after="0"/>
              <w:jc w:val="left"/>
              <w:rPr>
                <w:b w:val="false"/>
                <w:spacing w:val="-1"/>
              </w:rPr>
            </w:pPr>
            <w:r>
              <w:rPr>
                <w:b w:val="false"/>
                <w:spacing w:val="-1"/>
              </w:rPr>
              <w:t xml:space="preserve">Ernst &amp; Young LLP is an independent auditing firm with the required knowledge and experience to effectively audit Coherent’s financial statements.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left"/>
              <w:rPr/>
            </w:pPr>
            <w:r>
              <w:rPr/>
              <w:drawing>
                <wp:inline distT="0" distB="0" distL="0" distR="0">
                  <wp:extent cx="238125" cy="219075"/>
                  <wp:effectExtent l="0" t="0" r="0" b="0"/>
                  <wp:docPr id="2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5" descr=""/>
                          <pic:cNvPicPr>
                            <a:picLocks noChangeAspect="1" noChangeArrowheads="1"/>
                          </pic:cNvPicPr>
                        </pic:nvPicPr>
                        <pic:blipFill>
                          <a:blip r:embed="rId12"/>
                          <a:stretch>
                            <a:fillRect/>
                          </a:stretch>
                        </pic:blipFill>
                        <pic:spPr bwMode="auto">
                          <a:xfrm>
                            <a:off x="0" y="0"/>
                            <a:ext cx="238125" cy="219075"/>
                          </a:xfrm>
                          <a:prstGeom prst="rect">
                            <a:avLst/>
                          </a:prstGeom>
                        </pic:spPr>
                      </pic:pic>
                    </a:graphicData>
                  </a:graphic>
                </wp:inline>
              </w:drawing>
            </w:r>
            <w:r>
              <w:rPr/>
              <w:t xml:space="preserve"> </w:t>
            </w:r>
          </w:p>
          <w:p>
            <w:pPr>
              <w:pStyle w:val="TableContents"/>
              <w:bidi w:val="0"/>
              <w:spacing w:lineRule="atLeast" w:line="220" w:before="325" w:after="283"/>
              <w:jc w:val="left"/>
              <w:rPr>
                <w:sz w:val="16"/>
              </w:rPr>
            </w:pPr>
            <w:r>
              <w:rPr>
                <w:sz w:val="16"/>
              </w:rPr>
              <w:t>FOR​</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16" w:type="dxa"/>
            <w:tcBorders/>
            <w:vAlign w:val="center"/>
          </w:tcPr>
          <w:p>
            <w:pPr>
              <w:pStyle w:val="TableContents"/>
              <w:bidi w:val="0"/>
              <w:spacing w:lineRule="atLeast" w:line="300" w:before="0" w:after="0"/>
              <w:jc w:val="left"/>
              <w:rPr/>
            </w:pPr>
            <w:r>
              <w:rPr>
                <w:rFonts w:ascii="Tahoma;Geneva;sans-serif" w:hAnsi="Tahoma;Geneva;sans-serif"/>
                <w:sz w:val="24"/>
              </w:rPr>
              <w:t xml:space="preserve">Page </w:t>
            </w:r>
            <w:hyperlink w:anchor="tEHSAV">
              <w:r>
                <w:rPr>
                  <w:rStyle w:val="InternetLink"/>
                  <w:rFonts w:ascii="Tahoma;Geneva;sans-serif" w:hAnsi="Tahoma;Geneva;sans-serif"/>
                  <w:sz w:val="24"/>
                </w:rPr>
                <w:t>81</w:t>
              </w:r>
            </w:hyperlink>
          </w:p>
        </w:tc>
        <w:tc>
          <w:tcPr>
            <w:tcW w:w="157"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3</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5" w:name="tF2PH"/>
      <w:bookmarkEnd w:id="5"/>
      <w:r>
        <w:rPr>
          <w:rFonts w:ascii="calibri;arial;sans-serif" w:hAnsi="calibri;arial;sans-serif"/>
          <w:b w:val="false"/>
          <w:i w:val="false"/>
          <w:caps w:val="false"/>
          <w:smallCaps w:val="false"/>
          <w:sz w:val="18"/>
          <w:shd w:fill="E5E4E2" w:val="clear"/>
        </w:rPr>
        <w:t>​</w:t>
      </w:r>
      <w:bookmarkStart w:id="6" w:name="PRHI"/>
      <w:bookmarkEnd w:id="6"/>
      <w:r>
        <w:rPr>
          <w:rFonts w:ascii="calibri;arial;sans-serif" w:hAnsi="calibri;arial;sans-serif"/>
          <w:b w:val="false"/>
          <w:i w:val="false"/>
          <w:caps w:val="false"/>
          <w:smallCaps w:val="false"/>
          <w:sz w:val="18"/>
          <w:shd w:fill="E5E4E2"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before="40" w:after="350"/>
        <w:ind w:left="40" w:right="40" w:hanging="0"/>
        <w:jc w:val="left"/>
        <w:rPr>
          <w:caps w:val="false"/>
          <w:smallCaps w:val="false"/>
          <w:color w:val="000000"/>
          <w:shd w:fill="FFFFFF" w:val="clear"/>
        </w:rPr>
      </w:pPr>
      <w:r>
        <w:rPr>
          <w:caps w:val="false"/>
          <w:smallCaps w:val="false"/>
          <w:color w:val="000000"/>
          <w:shd w:fill="FFFFFF" w:val="clear"/>
        </w:rPr>
        <w:t>​</w:t>
      </w:r>
      <w:r>
        <mc:AlternateContent>
          <mc:Choice Requires="wps">
            <w:drawing>
              <wp:anchor behindDoc="0" distT="0" distB="0" distL="541655" distR="0" simplePos="0" locked="0" layoutInCell="1" allowOverlap="1" relativeHeight="121">
                <wp:simplePos x="0" y="0"/>
                <wp:positionH relativeFrom="column">
                  <wp:align>left</wp:align>
                </wp:positionH>
                <wp:positionV relativeFrom="line">
                  <wp:posOffset>635</wp:posOffset>
                </wp:positionV>
                <wp:extent cx="4025900" cy="9972040"/>
                <wp:effectExtent l="0" t="0" r="0" b="0"/>
                <wp:wrapSquare wrapText="right"/>
                <wp:docPr id="27" name="Frame16"/>
                <a:graphic xmlns:a="http://schemas.openxmlformats.org/drawingml/2006/main">
                  <a:graphicData uri="http://schemas.microsoft.com/office/word/2010/wordprocessingShape">
                    <wps:wsp>
                      <wps:cNvSpPr txBox="1"/>
                      <wps:spPr>
                        <a:xfrm>
                          <a:off x="0" y="0"/>
                          <a:ext cx="4025900" cy="9972040"/>
                        </a:xfrm>
                        <a:prstGeom prst="rect"/>
                        <a:solidFill>
                          <a:srgbClr val="FFFFFF"/>
                        </a:solidFill>
                      </wps:spPr>
                      <wps:txbx>
                        <w:txbxContent>
                          <w:p>
                            <w:pPr>
                              <w:pStyle w:val="TextBody"/>
                              <w:bidi w:val="0"/>
                              <w:spacing w:lineRule="atLeast" w:line="250" w:before="360" w:after="283"/>
                              <w:jc w:val="left"/>
                              <w:rPr/>
                            </w:pPr>
                            <w:r>
                              <w:rPr>
                                <w:spacing w:val="-1"/>
                              </w:rPr>
                              <w:t>   </w:t>
                            </w:r>
                            <w:r>
                              <w:rPr>
                                <w:spacing w:val="4"/>
                              </w:rPr>
                              <w:t xml:space="preserve"> </w:t>
                            </w:r>
                          </w:p>
                          <w:p>
                            <w:pPr>
                              <w:pStyle w:val="TextBody"/>
                              <w:bidi w:val="0"/>
                              <w:spacing w:lineRule="atLeast" w:line="440" w:before="1230" w:after="283"/>
                              <w:jc w:val="left"/>
                              <w:rPr>
                                <w:rFonts w:ascii="Tahoma;Geneva;sans-serif" w:hAnsi="Tahoma;Geneva;sans-serif"/>
                                <w:b/>
                                <w:sz w:val="40"/>
                              </w:rPr>
                            </w:pPr>
                            <w:r>
                              <w:rPr>
                                <w:rFonts w:ascii="Tahoma;Geneva;sans-serif" w:hAnsi="Tahoma;Geneva;sans-serif"/>
                                <w:b/>
                                <w:sz w:val="40"/>
                              </w:rPr>
                              <w:t>FINANCIAL RESULTS</w:t>
                            </w:r>
                          </w:p>
                          <w:p>
                            <w:pPr>
                              <w:pStyle w:val="TextBody"/>
                              <w:bidi w:val="0"/>
                              <w:spacing w:lineRule="atLeast" w:line="255" w:before="80" w:after="0"/>
                              <w:ind w:left="440" w:right="40" w:hanging="0"/>
                              <w:jc w:val="left"/>
                              <w:rPr/>
                            </w:pPr>
                            <w:r>
                              <w:rPr>
                                <w:spacing w:val="-1"/>
                              </w:rPr>
                              <w:t>Delivered record fiscal year 2026 revenue of $7.12 billion, an increase of 22.5% year over year.</w:t>
                            </w:r>
                            <w:r>
                              <w:rPr>
                                <w:spacing w:val="4"/>
                              </w:rPr>
                              <w:t xml:space="preserve"> </w:t>
                            </w:r>
                          </w:p>
                          <w:p>
                            <w:pPr>
                              <w:pStyle w:val="TextBody"/>
                              <w:bidi w:val="0"/>
                              <w:spacing w:before="0" w:after="0"/>
                              <w:ind w:left="40" w:right="40" w:hanging="0"/>
                              <w:jc w:val="left"/>
                              <w:rPr/>
                            </w:pPr>
                            <w:r>
                              <w:rPr/>
                              <w:t>​</w:t>
                            </w:r>
                          </w:p>
                          <w:p>
                            <w:pPr>
                              <w:pStyle w:val="TextBody"/>
                              <w:bidi w:val="0"/>
                              <w:spacing w:lineRule="atLeast" w:line="255" w:before="110" w:after="0"/>
                              <w:ind w:left="440" w:right="40" w:hanging="0"/>
                              <w:jc w:val="left"/>
                              <w:rPr/>
                            </w:pPr>
                            <w:r>
                              <w:rPr>
                                <w:spacing w:val="-1"/>
                              </w:rPr>
                              <w:t>Expanded GAAP gross margin by 233 basis points to 37.5%; non-GAAP gross margin of 39.4%</w:t>
                            </w:r>
                            <w:r>
                              <w:rPr>
                                <w:spacing w:val="4"/>
                              </w:rPr>
                              <w:t xml:space="preserve"> </w:t>
                            </w:r>
                          </w:p>
                          <w:p>
                            <w:pPr>
                              <w:pStyle w:val="TextBody"/>
                              <w:bidi w:val="0"/>
                              <w:spacing w:before="0" w:after="0"/>
                              <w:ind w:left="40" w:right="40" w:hanging="0"/>
                              <w:jc w:val="left"/>
                              <w:rPr/>
                            </w:pPr>
                            <w:r>
                              <w:rPr/>
                              <w:t>​</w:t>
                            </w:r>
                          </w:p>
                          <w:p>
                            <w:pPr>
                              <w:pStyle w:val="TextBody"/>
                              <w:bidi w:val="0"/>
                              <w:spacing w:lineRule="atLeast" w:line="255" w:before="110" w:after="0"/>
                              <w:ind w:left="440" w:right="40" w:hanging="0"/>
                              <w:jc w:val="left"/>
                              <w:rPr/>
                            </w:pPr>
                            <w:r>
                              <w:rPr>
                                <w:spacing w:val="-1"/>
                              </w:rPr>
                              <w:t>GAAP EPS improved by $4.64 to $4.12; non-GAAP EPS improved $2.08 to $5.61*</w:t>
                            </w:r>
                            <w:r>
                              <w:rPr>
                                <w:spacing w:val="4"/>
                              </w:rPr>
                              <w:t xml:space="preserve"> </w:t>
                            </w:r>
                          </w:p>
                          <w:p>
                            <w:pPr>
                              <w:pStyle w:val="TextBody"/>
                              <w:bidi w:val="0"/>
                              <w:spacing w:before="0" w:after="0"/>
                              <w:ind w:left="40" w:right="40" w:hanging="0"/>
                              <w:jc w:val="left"/>
                              <w:rPr/>
                            </w:pPr>
                            <w:r>
                              <w:rPr/>
                              <w:t>​</w:t>
                            </w:r>
                          </w:p>
                          <w:p>
                            <w:pPr>
                              <w:pStyle w:val="TextBody"/>
                              <w:bidi w:val="0"/>
                              <w:spacing w:lineRule="atLeast" w:line="255" w:before="110" w:after="0"/>
                              <w:ind w:left="440" w:right="40" w:hanging="0"/>
                              <w:jc w:val="left"/>
                              <w:rPr/>
                            </w:pPr>
                            <w:r>
                              <w:rPr>
                                <w:spacing w:val="-1"/>
                              </w:rPr>
                              <w:t>Grew Datacenter &amp; Communications revenue to $5.27 billion, up 40% from $3.76 billion in fiscal year 2025.</w:t>
                            </w:r>
                            <w:r>
                              <w:rPr/>
                              <w:t xml:space="preserve"> </w:t>
                            </w:r>
                          </w:p>
                          <w:p>
                            <w:pPr>
                              <w:pStyle w:val="TextBody"/>
                              <w:bidi w:val="0"/>
                              <w:spacing w:before="0" w:after="0"/>
                              <w:ind w:left="40" w:right="40" w:hanging="0"/>
                              <w:jc w:val="left"/>
                              <w:rPr/>
                            </w:pPr>
                            <w:r>
                              <w:rPr/>
                              <w:t>​</w:t>
                            </w:r>
                          </w:p>
                          <w:p>
                            <w:pPr>
                              <w:pStyle w:val="TextBody"/>
                              <w:bidi w:val="0"/>
                              <w:spacing w:lineRule="atLeast" w:line="180" w:before="40" w:after="283"/>
                              <w:jc w:val="left"/>
                              <w:rPr>
                                <w:sz w:val="14"/>
                              </w:rPr>
                            </w:pPr>
                            <w:r>
                              <w:rPr>
                                <w:spacing w:val="-1"/>
                                <w:sz w:val="14"/>
                              </w:rPr>
                              <w:t>*   See the Appendix for a reconciliation between the non-GAAP financial measures and GAAP results</w:t>
                            </w:r>
                            <w:r>
                              <w:rPr>
                                <w:sz w:val="14"/>
                              </w:rPr>
                              <w:t xml:space="preserve"> </w:t>
                            </w:r>
                          </w:p>
                          <w:p>
                            <w:pPr>
                              <w:pStyle w:val="TextBody"/>
                              <w:bidi w:val="0"/>
                              <w:spacing w:lineRule="atLeast" w:line="440" w:before="480" w:after="283"/>
                              <w:jc w:val="left"/>
                              <w:rPr>
                                <w:rFonts w:ascii="Tahoma;Geneva;sans-serif" w:hAnsi="Tahoma;Geneva;sans-serif"/>
                                <w:b/>
                                <w:sz w:val="40"/>
                              </w:rPr>
                            </w:pPr>
                            <w:r>
                              <w:rPr>
                                <w:rFonts w:ascii="Tahoma;Geneva;sans-serif" w:hAnsi="Tahoma;Geneva;sans-serif"/>
                                <w:b/>
                                <w:sz w:val="40"/>
                              </w:rPr>
                              <w:t xml:space="preserve">COMPANY HIGHLIGHTS </w:t>
                            </w:r>
                          </w:p>
                          <w:p>
                            <w:pPr>
                              <w:pStyle w:val="TextBody"/>
                              <w:bidi w:val="0"/>
                              <w:spacing w:lineRule="atLeast" w:line="255" w:before="150" w:after="0"/>
                              <w:ind w:left="440" w:right="40" w:hanging="0"/>
                              <w:jc w:val="left"/>
                              <w:rPr/>
                            </w:pPr>
                            <w:r>
                              <w:rPr>
                                <w:spacing w:val="-1"/>
                              </w:rPr>
                              <w:t>Entered into a multiyear, strategic agreement with NVIDIA to advance optical technologies for next-generation AI infrastructure, including a multibillion-dollar purchase commitment and NVIDIA’s $2 billion investment in Coherent to support research and development, capacity, and operations as we expand U.S. manufacturing.</w:t>
                            </w:r>
                            <w:r>
                              <w:rPr>
                                <w:spacing w:val="4"/>
                              </w:rPr>
                              <w:t xml:space="preserve"> </w:t>
                            </w:r>
                          </w:p>
                          <w:p>
                            <w:pPr>
                              <w:pStyle w:val="TextBody"/>
                              <w:bidi w:val="0"/>
                              <w:spacing w:before="0" w:after="0"/>
                              <w:ind w:left="40" w:right="40" w:hanging="0"/>
                              <w:jc w:val="left"/>
                              <w:rPr/>
                            </w:pPr>
                            <w:r>
                              <w:rPr/>
                              <w:t>​</w:t>
                            </w:r>
                          </w:p>
                          <w:p>
                            <w:pPr>
                              <w:pStyle w:val="TextBody"/>
                              <w:bidi w:val="0"/>
                              <w:spacing w:lineRule="atLeast" w:line="255" w:before="110" w:after="0"/>
                              <w:ind w:left="440" w:right="40" w:hanging="0"/>
                              <w:jc w:val="left"/>
                              <w:rPr/>
                            </w:pPr>
                            <w:r>
                              <w:rPr>
                                <w:spacing w:val="-1"/>
                              </w:rPr>
                              <w:t>Broke ground on the expansion of our 6-inch indium phosphide manufacturing facility in Sherman, Texas, to support growing AI infrastructure demand, and signed a letter of intent for up to $50 million in proposed direct funding under the CHIPS and Science Act.</w:t>
                            </w:r>
                            <w:r>
                              <w:rPr>
                                <w:spacing w:val="4"/>
                              </w:rPr>
                              <w:t xml:space="preserve"> </w:t>
                            </w:r>
                          </w:p>
                          <w:p>
                            <w:pPr>
                              <w:pStyle w:val="TextBody"/>
                              <w:bidi w:val="0"/>
                              <w:spacing w:before="0" w:after="0"/>
                              <w:ind w:left="40" w:right="40" w:hanging="0"/>
                              <w:jc w:val="left"/>
                              <w:rPr/>
                            </w:pPr>
                            <w:r>
                              <w:rPr/>
                              <w:t>​</w:t>
                            </w:r>
                          </w:p>
                          <w:p>
                            <w:pPr>
                              <w:pStyle w:val="TextBody"/>
                              <w:bidi w:val="0"/>
                              <w:spacing w:lineRule="atLeast" w:line="255" w:before="110" w:after="0"/>
                              <w:ind w:left="440" w:right="40" w:hanging="0"/>
                              <w:jc w:val="left"/>
                              <w:rPr/>
                            </w:pPr>
                            <w:r>
                              <w:rPr>
                                <w:spacing w:val="-1"/>
                              </w:rPr>
                              <w:t>Advanced our optical technology portfolio for next-generation AI infrastructure, including laser technologies supporting 1.6T transceivers and co-packaged optics.</w:t>
                            </w:r>
                            <w:r>
                              <w:rPr>
                                <w:spacing w:val="4"/>
                              </w:rPr>
                              <w:t xml:space="preserve"> </w:t>
                            </w:r>
                          </w:p>
                          <w:p>
                            <w:pPr>
                              <w:pStyle w:val="TextBody"/>
                              <w:bidi w:val="0"/>
                              <w:spacing w:before="0" w:after="0"/>
                              <w:ind w:left="40" w:right="40" w:hanging="0"/>
                              <w:jc w:val="left"/>
                              <w:rPr/>
                            </w:pPr>
                            <w:r>
                              <w:rPr/>
                              <w:t>​</w:t>
                            </w:r>
                          </w:p>
                          <w:p>
                            <w:pPr>
                              <w:pStyle w:val="TextBody"/>
                              <w:bidi w:val="0"/>
                              <w:spacing w:lineRule="atLeast" w:line="255" w:before="110" w:after="0"/>
                              <w:ind w:left="440" w:right="40" w:hanging="0"/>
                              <w:jc w:val="left"/>
                              <w:rPr/>
                            </w:pPr>
                            <w:r>
                              <w:rPr>
                                <w:spacing w:val="-1"/>
                              </w:rPr>
                              <w:t>Joined the S&amp;P 500 Index, effective March 23, 2026.</w:t>
                            </w:r>
                            <w:r>
                              <w:rPr>
                                <w:spacing w:val="4"/>
                              </w:rPr>
                              <w:t xml:space="preserve"> </w:t>
                            </w:r>
                          </w:p>
                          <w:p>
                            <w:pPr>
                              <w:pStyle w:val="TextBody"/>
                              <w:bidi w:val="0"/>
                              <w:spacing w:before="0" w:after="0"/>
                              <w:ind w:left="40" w:right="40" w:hanging="0"/>
                              <w:jc w:val="left"/>
                              <w:rPr/>
                            </w:pPr>
                            <w:r>
                              <w:rPr/>
                              <w:t>​</w:t>
                            </w:r>
                          </w:p>
                          <w:p>
                            <w:pPr>
                              <w:pStyle w:val="TextBody"/>
                              <w:bidi w:val="0"/>
                              <w:spacing w:lineRule="atLeast" w:line="255" w:before="110" w:after="0"/>
                              <w:ind w:left="440" w:right="40" w:hanging="0"/>
                              <w:jc w:val="left"/>
                              <w:rPr/>
                            </w:pPr>
                            <w:r>
                              <w:rPr>
                                <w:spacing w:val="-1"/>
                              </w:rPr>
                              <w:t>Named to Forbes 2026 America’s Best Companies list.</w:t>
                            </w:r>
                            <w:r>
                              <w:rPr>
                                <w:spacing w:val="4"/>
                              </w:rPr>
                              <w:t xml:space="preserve"> </w:t>
                            </w:r>
                          </w:p>
                          <w:p>
                            <w:pPr>
                              <w:pStyle w:val="TextBody"/>
                              <w:bidi w:val="0"/>
                              <w:spacing w:before="0" w:after="0"/>
                              <w:ind w:left="40" w:right="40" w:hanging="0"/>
                              <w:jc w:val="left"/>
                              <w:rPr/>
                            </w:pPr>
                            <w:r>
                              <w:rPr/>
                              <w:t>​</w:t>
                            </w:r>
                          </w:p>
                          <w:p>
                            <w:pPr>
                              <w:pStyle w:val="TextBody"/>
                              <w:bidi w:val="0"/>
                              <w:spacing w:before="250" w:after="283"/>
                              <w:jc w:val="center"/>
                              <w:rPr/>
                            </w:pPr>
                            <w:r>
                              <w:rPr/>
                              <w:drawing>
                                <wp:inline distT="0" distB="0" distL="0" distR="0">
                                  <wp:extent cx="2466975" cy="2466975"/>
                                  <wp:effectExtent l="0" t="0" r="0" b="0"/>
                                  <wp:docPr id="2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9" descr=""/>
                                          <pic:cNvPicPr>
                                            <a:picLocks noChangeAspect="1" noChangeArrowheads="1"/>
                                          </pic:cNvPicPr>
                                        </pic:nvPicPr>
                                        <pic:blipFill>
                                          <a:blip r:embed="rId13"/>
                                          <a:stretch>
                                            <a:fillRect/>
                                          </a:stretch>
                                        </pic:blipFill>
                                        <pic:spPr bwMode="auto">
                                          <a:xfrm>
                                            <a:off x="0" y="0"/>
                                            <a:ext cx="2466975" cy="24669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317pt;height:785.2pt;mso-wrap-distance-left:42.65pt;mso-wrap-distance-right:0pt;mso-wrap-distance-top:0pt;mso-wrap-distance-bottom:0pt;margin-top:0pt;mso-position-vertical:top;mso-position-vertical-relative:text;margin-left:42.65pt;mso-position-horizontal:left;mso-position-horizontal-relative:text">
                <v:textbox>
                  <w:txbxContent>
                    <w:p>
                      <w:pPr>
                        <w:pStyle w:val="TextBody"/>
                        <w:bidi w:val="0"/>
                        <w:spacing w:lineRule="atLeast" w:line="250" w:before="360" w:after="283"/>
                        <w:jc w:val="left"/>
                        <w:rPr/>
                      </w:pPr>
                      <w:r>
                        <w:rPr>
                          <w:spacing w:val="-1"/>
                        </w:rPr>
                        <w:t>   </w:t>
                      </w:r>
                      <w:r>
                        <w:rPr>
                          <w:spacing w:val="4"/>
                        </w:rPr>
                        <w:t xml:space="preserve"> </w:t>
                      </w:r>
                    </w:p>
                    <w:p>
                      <w:pPr>
                        <w:pStyle w:val="TextBody"/>
                        <w:bidi w:val="0"/>
                        <w:spacing w:lineRule="atLeast" w:line="440" w:before="1230" w:after="283"/>
                        <w:jc w:val="left"/>
                        <w:rPr>
                          <w:rFonts w:ascii="Tahoma;Geneva;sans-serif" w:hAnsi="Tahoma;Geneva;sans-serif"/>
                          <w:b/>
                          <w:sz w:val="40"/>
                        </w:rPr>
                      </w:pPr>
                      <w:r>
                        <w:rPr>
                          <w:rFonts w:ascii="Tahoma;Geneva;sans-serif" w:hAnsi="Tahoma;Geneva;sans-serif"/>
                          <w:b/>
                          <w:sz w:val="40"/>
                        </w:rPr>
                        <w:t>FINANCIAL RESULTS</w:t>
                      </w:r>
                    </w:p>
                    <w:p>
                      <w:pPr>
                        <w:pStyle w:val="TextBody"/>
                        <w:bidi w:val="0"/>
                        <w:spacing w:lineRule="atLeast" w:line="255" w:before="80" w:after="0"/>
                        <w:ind w:left="440" w:right="40" w:hanging="0"/>
                        <w:jc w:val="left"/>
                        <w:rPr/>
                      </w:pPr>
                      <w:r>
                        <w:rPr>
                          <w:spacing w:val="-1"/>
                        </w:rPr>
                        <w:t>Delivered record fiscal year 2026 revenue of $7.12 billion, an increase of 22.5% year over year.</w:t>
                      </w:r>
                      <w:r>
                        <w:rPr>
                          <w:spacing w:val="4"/>
                        </w:rPr>
                        <w:t xml:space="preserve"> </w:t>
                      </w:r>
                    </w:p>
                    <w:p>
                      <w:pPr>
                        <w:pStyle w:val="TextBody"/>
                        <w:bidi w:val="0"/>
                        <w:spacing w:before="0" w:after="0"/>
                        <w:ind w:left="40" w:right="40" w:hanging="0"/>
                        <w:jc w:val="left"/>
                        <w:rPr/>
                      </w:pPr>
                      <w:r>
                        <w:rPr/>
                        <w:t>​</w:t>
                      </w:r>
                    </w:p>
                    <w:p>
                      <w:pPr>
                        <w:pStyle w:val="TextBody"/>
                        <w:bidi w:val="0"/>
                        <w:spacing w:lineRule="atLeast" w:line="255" w:before="110" w:after="0"/>
                        <w:ind w:left="440" w:right="40" w:hanging="0"/>
                        <w:jc w:val="left"/>
                        <w:rPr/>
                      </w:pPr>
                      <w:r>
                        <w:rPr>
                          <w:spacing w:val="-1"/>
                        </w:rPr>
                        <w:t>Expanded GAAP gross margin by 233 basis points to 37.5%; non-GAAP gross margin of 39.4%</w:t>
                      </w:r>
                      <w:r>
                        <w:rPr>
                          <w:spacing w:val="4"/>
                        </w:rPr>
                        <w:t xml:space="preserve"> </w:t>
                      </w:r>
                    </w:p>
                    <w:p>
                      <w:pPr>
                        <w:pStyle w:val="TextBody"/>
                        <w:bidi w:val="0"/>
                        <w:spacing w:before="0" w:after="0"/>
                        <w:ind w:left="40" w:right="40" w:hanging="0"/>
                        <w:jc w:val="left"/>
                        <w:rPr/>
                      </w:pPr>
                      <w:r>
                        <w:rPr/>
                        <w:t>​</w:t>
                      </w:r>
                    </w:p>
                    <w:p>
                      <w:pPr>
                        <w:pStyle w:val="TextBody"/>
                        <w:bidi w:val="0"/>
                        <w:spacing w:lineRule="atLeast" w:line="255" w:before="110" w:after="0"/>
                        <w:ind w:left="440" w:right="40" w:hanging="0"/>
                        <w:jc w:val="left"/>
                        <w:rPr/>
                      </w:pPr>
                      <w:r>
                        <w:rPr>
                          <w:spacing w:val="-1"/>
                        </w:rPr>
                        <w:t>GAAP EPS improved by $4.64 to $4.12; non-GAAP EPS improved $2.08 to $5.61*</w:t>
                      </w:r>
                      <w:r>
                        <w:rPr>
                          <w:spacing w:val="4"/>
                        </w:rPr>
                        <w:t xml:space="preserve"> </w:t>
                      </w:r>
                    </w:p>
                    <w:p>
                      <w:pPr>
                        <w:pStyle w:val="TextBody"/>
                        <w:bidi w:val="0"/>
                        <w:spacing w:before="0" w:after="0"/>
                        <w:ind w:left="40" w:right="40" w:hanging="0"/>
                        <w:jc w:val="left"/>
                        <w:rPr/>
                      </w:pPr>
                      <w:r>
                        <w:rPr/>
                        <w:t>​</w:t>
                      </w:r>
                    </w:p>
                    <w:p>
                      <w:pPr>
                        <w:pStyle w:val="TextBody"/>
                        <w:bidi w:val="0"/>
                        <w:spacing w:lineRule="atLeast" w:line="255" w:before="110" w:after="0"/>
                        <w:ind w:left="440" w:right="40" w:hanging="0"/>
                        <w:jc w:val="left"/>
                        <w:rPr/>
                      </w:pPr>
                      <w:r>
                        <w:rPr>
                          <w:spacing w:val="-1"/>
                        </w:rPr>
                        <w:t>Grew Datacenter &amp; Communications revenue to $5.27 billion, up 40% from $3.76 billion in fiscal year 2025.</w:t>
                      </w:r>
                      <w:r>
                        <w:rPr/>
                        <w:t xml:space="preserve"> </w:t>
                      </w:r>
                    </w:p>
                    <w:p>
                      <w:pPr>
                        <w:pStyle w:val="TextBody"/>
                        <w:bidi w:val="0"/>
                        <w:spacing w:before="0" w:after="0"/>
                        <w:ind w:left="40" w:right="40" w:hanging="0"/>
                        <w:jc w:val="left"/>
                        <w:rPr/>
                      </w:pPr>
                      <w:r>
                        <w:rPr/>
                        <w:t>​</w:t>
                      </w:r>
                    </w:p>
                    <w:p>
                      <w:pPr>
                        <w:pStyle w:val="TextBody"/>
                        <w:bidi w:val="0"/>
                        <w:spacing w:lineRule="atLeast" w:line="180" w:before="40" w:after="283"/>
                        <w:jc w:val="left"/>
                        <w:rPr>
                          <w:sz w:val="14"/>
                        </w:rPr>
                      </w:pPr>
                      <w:r>
                        <w:rPr>
                          <w:spacing w:val="-1"/>
                          <w:sz w:val="14"/>
                        </w:rPr>
                        <w:t>*   See the Appendix for a reconciliation between the non-GAAP financial measures and GAAP results</w:t>
                      </w:r>
                      <w:r>
                        <w:rPr>
                          <w:sz w:val="14"/>
                        </w:rPr>
                        <w:t xml:space="preserve"> </w:t>
                      </w:r>
                    </w:p>
                    <w:p>
                      <w:pPr>
                        <w:pStyle w:val="TextBody"/>
                        <w:bidi w:val="0"/>
                        <w:spacing w:lineRule="atLeast" w:line="440" w:before="480" w:after="283"/>
                        <w:jc w:val="left"/>
                        <w:rPr>
                          <w:rFonts w:ascii="Tahoma;Geneva;sans-serif" w:hAnsi="Tahoma;Geneva;sans-serif"/>
                          <w:b/>
                          <w:sz w:val="40"/>
                        </w:rPr>
                      </w:pPr>
                      <w:r>
                        <w:rPr>
                          <w:rFonts w:ascii="Tahoma;Geneva;sans-serif" w:hAnsi="Tahoma;Geneva;sans-serif"/>
                          <w:b/>
                          <w:sz w:val="40"/>
                        </w:rPr>
                        <w:t xml:space="preserve">COMPANY HIGHLIGHTS </w:t>
                      </w:r>
                    </w:p>
                    <w:p>
                      <w:pPr>
                        <w:pStyle w:val="TextBody"/>
                        <w:bidi w:val="0"/>
                        <w:spacing w:lineRule="atLeast" w:line="255" w:before="150" w:after="0"/>
                        <w:ind w:left="440" w:right="40" w:hanging="0"/>
                        <w:jc w:val="left"/>
                        <w:rPr/>
                      </w:pPr>
                      <w:r>
                        <w:rPr>
                          <w:spacing w:val="-1"/>
                        </w:rPr>
                        <w:t>Entered into a multiyear, strategic agreement with NVIDIA to advance optical technologies for next-generation AI infrastructure, including a multibillion-dollar purchase commitment and NVIDIA’s $2 billion investment in Coherent to support research and development, capacity, and operations as we expand U.S. manufacturing.</w:t>
                      </w:r>
                      <w:r>
                        <w:rPr>
                          <w:spacing w:val="4"/>
                        </w:rPr>
                        <w:t xml:space="preserve"> </w:t>
                      </w:r>
                    </w:p>
                    <w:p>
                      <w:pPr>
                        <w:pStyle w:val="TextBody"/>
                        <w:bidi w:val="0"/>
                        <w:spacing w:before="0" w:after="0"/>
                        <w:ind w:left="40" w:right="40" w:hanging="0"/>
                        <w:jc w:val="left"/>
                        <w:rPr/>
                      </w:pPr>
                      <w:r>
                        <w:rPr/>
                        <w:t>​</w:t>
                      </w:r>
                    </w:p>
                    <w:p>
                      <w:pPr>
                        <w:pStyle w:val="TextBody"/>
                        <w:bidi w:val="0"/>
                        <w:spacing w:lineRule="atLeast" w:line="255" w:before="110" w:after="0"/>
                        <w:ind w:left="440" w:right="40" w:hanging="0"/>
                        <w:jc w:val="left"/>
                        <w:rPr/>
                      </w:pPr>
                      <w:r>
                        <w:rPr>
                          <w:spacing w:val="-1"/>
                        </w:rPr>
                        <w:t>Broke ground on the expansion of our 6-inch indium phosphide manufacturing facility in Sherman, Texas, to support growing AI infrastructure demand, and signed a letter of intent for up to $50 million in proposed direct funding under the CHIPS and Science Act.</w:t>
                      </w:r>
                      <w:r>
                        <w:rPr>
                          <w:spacing w:val="4"/>
                        </w:rPr>
                        <w:t xml:space="preserve"> </w:t>
                      </w:r>
                    </w:p>
                    <w:p>
                      <w:pPr>
                        <w:pStyle w:val="TextBody"/>
                        <w:bidi w:val="0"/>
                        <w:spacing w:before="0" w:after="0"/>
                        <w:ind w:left="40" w:right="40" w:hanging="0"/>
                        <w:jc w:val="left"/>
                        <w:rPr/>
                      </w:pPr>
                      <w:r>
                        <w:rPr/>
                        <w:t>​</w:t>
                      </w:r>
                    </w:p>
                    <w:p>
                      <w:pPr>
                        <w:pStyle w:val="TextBody"/>
                        <w:bidi w:val="0"/>
                        <w:spacing w:lineRule="atLeast" w:line="255" w:before="110" w:after="0"/>
                        <w:ind w:left="440" w:right="40" w:hanging="0"/>
                        <w:jc w:val="left"/>
                        <w:rPr/>
                      </w:pPr>
                      <w:r>
                        <w:rPr>
                          <w:spacing w:val="-1"/>
                        </w:rPr>
                        <w:t>Advanced our optical technology portfolio for next-generation AI infrastructure, including laser technologies supporting 1.6T transceivers and co-packaged optics.</w:t>
                      </w:r>
                      <w:r>
                        <w:rPr>
                          <w:spacing w:val="4"/>
                        </w:rPr>
                        <w:t xml:space="preserve"> </w:t>
                      </w:r>
                    </w:p>
                    <w:p>
                      <w:pPr>
                        <w:pStyle w:val="TextBody"/>
                        <w:bidi w:val="0"/>
                        <w:spacing w:before="0" w:after="0"/>
                        <w:ind w:left="40" w:right="40" w:hanging="0"/>
                        <w:jc w:val="left"/>
                        <w:rPr/>
                      </w:pPr>
                      <w:r>
                        <w:rPr/>
                        <w:t>​</w:t>
                      </w:r>
                    </w:p>
                    <w:p>
                      <w:pPr>
                        <w:pStyle w:val="TextBody"/>
                        <w:bidi w:val="0"/>
                        <w:spacing w:lineRule="atLeast" w:line="255" w:before="110" w:after="0"/>
                        <w:ind w:left="440" w:right="40" w:hanging="0"/>
                        <w:jc w:val="left"/>
                        <w:rPr/>
                      </w:pPr>
                      <w:r>
                        <w:rPr>
                          <w:spacing w:val="-1"/>
                        </w:rPr>
                        <w:t>Joined the S&amp;P 500 Index, effective March 23, 2026.</w:t>
                      </w:r>
                      <w:r>
                        <w:rPr>
                          <w:spacing w:val="4"/>
                        </w:rPr>
                        <w:t xml:space="preserve"> </w:t>
                      </w:r>
                    </w:p>
                    <w:p>
                      <w:pPr>
                        <w:pStyle w:val="TextBody"/>
                        <w:bidi w:val="0"/>
                        <w:spacing w:before="0" w:after="0"/>
                        <w:ind w:left="40" w:right="40" w:hanging="0"/>
                        <w:jc w:val="left"/>
                        <w:rPr/>
                      </w:pPr>
                      <w:r>
                        <w:rPr/>
                        <w:t>​</w:t>
                      </w:r>
                    </w:p>
                    <w:p>
                      <w:pPr>
                        <w:pStyle w:val="TextBody"/>
                        <w:bidi w:val="0"/>
                        <w:spacing w:lineRule="atLeast" w:line="255" w:before="110" w:after="0"/>
                        <w:ind w:left="440" w:right="40" w:hanging="0"/>
                        <w:jc w:val="left"/>
                        <w:rPr/>
                      </w:pPr>
                      <w:r>
                        <w:rPr>
                          <w:spacing w:val="-1"/>
                        </w:rPr>
                        <w:t>Named to Forbes 2026 America’s Best Companies list.</w:t>
                      </w:r>
                      <w:r>
                        <w:rPr>
                          <w:spacing w:val="4"/>
                        </w:rPr>
                        <w:t xml:space="preserve"> </w:t>
                      </w:r>
                    </w:p>
                    <w:p>
                      <w:pPr>
                        <w:pStyle w:val="TextBody"/>
                        <w:bidi w:val="0"/>
                        <w:spacing w:before="0" w:after="0"/>
                        <w:ind w:left="40" w:right="40" w:hanging="0"/>
                        <w:jc w:val="left"/>
                        <w:rPr/>
                      </w:pPr>
                      <w:r>
                        <w:rPr/>
                        <w:t>​</w:t>
                      </w:r>
                    </w:p>
                    <w:p>
                      <w:pPr>
                        <w:pStyle w:val="TextBody"/>
                        <w:bidi w:val="0"/>
                        <w:spacing w:before="250" w:after="283"/>
                        <w:jc w:val="center"/>
                        <w:rPr/>
                      </w:pPr>
                      <w:r>
                        <w:rPr/>
                        <w:drawing>
                          <wp:inline distT="0" distB="0" distL="0" distR="0">
                            <wp:extent cx="2466975" cy="2466975"/>
                            <wp:effectExtent l="0" t="0" r="0" b="0"/>
                            <wp:docPr id="2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9" descr=""/>
                                    <pic:cNvPicPr>
                                      <a:picLocks noChangeAspect="1" noChangeArrowheads="1"/>
                                    </pic:cNvPicPr>
                                  </pic:nvPicPr>
                                  <pic:blipFill>
                                    <a:blip r:embed="rId14"/>
                                    <a:stretch>
                                      <a:fillRect/>
                                    </a:stretch>
                                  </pic:blipFill>
                                  <pic:spPr bwMode="auto">
                                    <a:xfrm>
                                      <a:off x="0" y="0"/>
                                      <a:ext cx="2466975" cy="2466975"/>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152400" distR="0" simplePos="0" locked="0" layoutInCell="1" allowOverlap="1" relativeHeight="125">
                <wp:simplePos x="0" y="0"/>
                <wp:positionH relativeFrom="column">
                  <wp:align>left</wp:align>
                </wp:positionH>
                <wp:positionV relativeFrom="line">
                  <wp:posOffset>635</wp:posOffset>
                </wp:positionV>
                <wp:extent cx="2840355" cy="8636000"/>
                <wp:effectExtent l="0" t="0" r="0" b="0"/>
                <wp:wrapSquare wrapText="right"/>
                <wp:docPr id="30" name="Frame26"/>
                <a:graphic xmlns:a="http://schemas.openxmlformats.org/drawingml/2006/main">
                  <a:graphicData uri="http://schemas.microsoft.com/office/word/2010/wordprocessingShape">
                    <wps:wsp>
                      <wps:cNvSpPr txBox="1"/>
                      <wps:spPr>
                        <a:xfrm>
                          <a:off x="0" y="0"/>
                          <a:ext cx="2840355" cy="8636000"/>
                        </a:xfrm>
                        <a:prstGeom prst="rect"/>
                        <a:solidFill>
                          <a:srgbClr val="FFFFFF"/>
                        </a:solidFill>
                      </wps:spPr>
                      <wps:txbx>
                        <w:txbxContent>
                          <w:tbl>
                            <w:tblPr>
                              <w:tblW w:w="4861" w:type="dxa"/>
                              <w:jc w:val="left"/>
                              <w:tblInd w:w="40" w:type="dxa"/>
                              <w:tblLayout w:type="fixed"/>
                              <w:tblCellMar>
                                <w:top w:w="0" w:type="dxa"/>
                                <w:left w:w="0" w:type="dxa"/>
                                <w:bottom w:w="0" w:type="dxa"/>
                                <w:right w:w="0" w:type="dxa"/>
                              </w:tblCellMar>
                            </w:tblPr>
                            <w:tblGrid>
                              <w:gridCol w:w="124"/>
                              <w:gridCol w:w="592"/>
                              <w:gridCol w:w="207"/>
                              <w:gridCol w:w="207"/>
                              <w:gridCol w:w="3577"/>
                              <w:gridCol w:w="154"/>
                            </w:tblGrid>
                            <w:tr>
                              <w:trPr/>
                              <w:tc>
                                <w:tcPr>
                                  <w:tcW w:w="124" w:type="dxa"/>
                                  <w:tcBorders/>
                                  <w:shd w:fill="E5E5E5" w:val="clear"/>
                                  <w:vAlign w:val="center"/>
                                </w:tcPr>
                                <w:p>
                                  <w:pPr>
                                    <w:pStyle w:val="TableContents"/>
                                    <w:bidi w:val="0"/>
                                    <w:spacing w:before="0" w:after="283"/>
                                    <w:jc w:val="left"/>
                                    <w:rPr/>
                                  </w:pPr>
                                  <w:r>
                                    <w:rPr/>
                                    <w:t>​</w:t>
                                  </w:r>
                                </w:p>
                              </w:tc>
                              <w:tc>
                                <w:tcPr>
                                  <w:tcW w:w="4583" w:type="dxa"/>
                                  <w:gridSpan w:val="4"/>
                                  <w:tcBorders/>
                                  <w:shd w:fill="E5E5E5" w:val="clear"/>
                                  <w:vAlign w:val="center"/>
                                </w:tcPr>
                                <w:p>
                                  <w:pPr>
                                    <w:pStyle w:val="TableContents"/>
                                    <w:bidi w:val="0"/>
                                    <w:spacing w:lineRule="atLeast" w:line="460" w:before="0" w:after="0"/>
                                    <w:ind w:left="400" w:right="0" w:hanging="0"/>
                                    <w:jc w:val="left"/>
                                    <w:rPr/>
                                  </w:pPr>
                                  <w:r>
                                    <w:rPr/>
                                    <w:t xml:space="preserve">FISCAL YEAR 2026 </w:t>
                                    <w:br/>
                                    <w:t>PERFORMANCE</w:t>
                                    <w:br/>
                                    <w:t>HIGHLIGHTS</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592" w:type="dxa"/>
                                  <w:tcBorders/>
                                  <w:shd w:fill="E5E5E5" w:val="clear"/>
                                  <w:vAlign w:val="center"/>
                                </w:tcPr>
                                <w:p>
                                  <w:pPr>
                                    <w:pStyle w:val="TableContents"/>
                                    <w:bidi w:val="0"/>
                                    <w:spacing w:before="0" w:after="0"/>
                                    <w:ind w:left="400" w:right="0" w:hanging="0"/>
                                    <w:jc w:val="left"/>
                                    <w:rPr/>
                                  </w:pPr>
                                  <w:r>
                                    <w:rPr/>
                                    <w:drawing>
                                      <wp:inline distT="0" distB="0" distL="0" distR="0">
                                        <wp:extent cx="142875" cy="304800"/>
                                        <wp:effectExtent l="0" t="0" r="0" b="0"/>
                                        <wp:docPr id="3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0" descr=""/>
                                                <pic:cNvPicPr>
                                                  <a:picLocks noChangeAspect="1" noChangeArrowheads="1"/>
                                                </pic:cNvPicPr>
                                              </pic:nvPicPr>
                                              <pic:blipFill>
                                                <a:blip r:embed="rId15"/>
                                                <a:stretch>
                                                  <a:fillRect/>
                                                </a:stretch>
                                              </pic:blipFill>
                                              <pic:spPr bwMode="auto">
                                                <a:xfrm>
                                                  <a:off x="0" y="0"/>
                                                  <a:ext cx="142875" cy="304800"/>
                                                </a:xfrm>
                                                <a:prstGeom prst="rect">
                                                  <a:avLst/>
                                                </a:prstGeom>
                                              </pic:spPr>
                                            </pic:pic>
                                          </a:graphicData>
                                        </a:graphic>
                                      </wp:inline>
                                    </w:drawing>
                                  </w:r>
                                  <w:r>
                                    <w:rPr/>
                                    <w:t xml:space="preserve"> </w:t>
                                  </w:r>
                                </w:p>
                              </w:tc>
                              <w:tc>
                                <w:tcPr>
                                  <w:tcW w:w="207" w:type="dxa"/>
                                  <w:tcBorders/>
                                  <w:shd w:fill="E5E5E5" w:val="clear"/>
                                  <w:vAlign w:val="center"/>
                                </w:tcPr>
                                <w:p>
                                  <w:pPr>
                                    <w:pStyle w:val="TableContents"/>
                                    <w:bidi w:val="0"/>
                                    <w:spacing w:before="0" w:after="283"/>
                                    <w:jc w:val="left"/>
                                    <w:rPr/>
                                  </w:pPr>
                                  <w:r>
                                    <w:rPr/>
                                    <w:t>​</w:t>
                                  </w:r>
                                </w:p>
                              </w:tc>
                              <w:tc>
                                <w:tcPr>
                                  <w:tcW w:w="207" w:type="dxa"/>
                                  <w:tcBorders/>
                                  <w:shd w:fill="E5E5E5" w:val="clear"/>
                                  <w:vAlign w:val="center"/>
                                </w:tcPr>
                                <w:p>
                                  <w:pPr>
                                    <w:pStyle w:val="TableContents"/>
                                    <w:bidi w:val="0"/>
                                    <w:spacing w:before="0" w:after="283"/>
                                    <w:jc w:val="left"/>
                                    <w:rPr/>
                                  </w:pPr>
                                  <w:r>
                                    <w:rPr/>
                                    <w:t>​</w:t>
                                  </w:r>
                                </w:p>
                              </w:tc>
                              <w:tc>
                                <w:tcPr>
                                  <w:tcW w:w="3577" w:type="dxa"/>
                                  <w:tcBorders/>
                                  <w:shd w:fill="E5E5E5" w:val="clear"/>
                                  <w:vAlign w:val="center"/>
                                </w:tcPr>
                                <w:p>
                                  <w:pPr>
                                    <w:pStyle w:val="TableContents"/>
                                    <w:bidi w:val="0"/>
                                    <w:spacing w:lineRule="atLeast" w:line="760" w:before="0" w:after="0"/>
                                    <w:jc w:val="left"/>
                                    <w:rPr>
                                      <w:rFonts w:ascii="Tahoma;Geneva;sans-serif" w:hAnsi="Tahoma;Geneva;sans-serif"/>
                                      <w:b/>
                                      <w:color w:val="0068C7"/>
                                      <w:sz w:val="70"/>
                                    </w:rPr>
                                  </w:pPr>
                                  <w:r>
                                    <w:rPr>
                                      <w:rFonts w:ascii="Tahoma;Geneva;sans-serif" w:hAnsi="Tahoma;Geneva;sans-serif"/>
                                      <w:b/>
                                      <w:color w:val="0068C7"/>
                                      <w:sz w:val="70"/>
                                    </w:rPr>
                                    <w:t>22.5%</w:t>
                                  </w:r>
                                  <w:r>
                                    <w:rPr>
                                      <w:rFonts w:ascii="Tahoma;Geneva;sans-serif" w:hAnsi="Tahoma;Geneva;sans-serif"/>
                                      <w:b/>
                                      <w:color w:val="000000"/>
                                      <w:sz w:val="70"/>
                                    </w:rPr>
                                    <w:t>​</w:t>
                                  </w:r>
                                </w:p>
                                <w:p>
                                  <w:pPr>
                                    <w:pStyle w:val="TableContents"/>
                                    <w:bidi w:val="0"/>
                                    <w:spacing w:lineRule="atLeast" w:line="300" w:before="60" w:after="283"/>
                                    <w:jc w:val="left"/>
                                    <w:rPr>
                                      <w:rFonts w:ascii="Tahoma;Geneva;sans-serif" w:hAnsi="Tahoma;Geneva;sans-serif"/>
                                      <w:b/>
                                    </w:rPr>
                                  </w:pPr>
                                  <w:r>
                                    <w:rPr>
                                      <w:rFonts w:ascii="Tahoma;Geneva;sans-serif" w:hAnsi="Tahoma;Geneva;sans-serif"/>
                                      <w:b/>
                                    </w:rPr>
                                    <w:t>REVENUE</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592" w:type="dxa"/>
                                  <w:tcBorders/>
                                  <w:shd w:fill="E5E5E5" w:val="clear"/>
                                  <w:vAlign w:val="center"/>
                                </w:tcPr>
                                <w:p>
                                  <w:pPr>
                                    <w:pStyle w:val="TableContents"/>
                                    <w:bidi w:val="0"/>
                                    <w:spacing w:before="0" w:after="0"/>
                                    <w:ind w:left="400" w:right="0" w:hanging="0"/>
                                    <w:jc w:val="left"/>
                                    <w:rPr/>
                                  </w:pPr>
                                  <w:r>
                                    <w:rPr/>
                                    <w:drawing>
                                      <wp:inline distT="0" distB="0" distL="0" distR="0">
                                        <wp:extent cx="142875" cy="304800"/>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16"/>
                                                <a:stretch>
                                                  <a:fillRect/>
                                                </a:stretch>
                                              </pic:blipFill>
                                              <pic:spPr bwMode="auto">
                                                <a:xfrm>
                                                  <a:off x="0" y="0"/>
                                                  <a:ext cx="142875" cy="304800"/>
                                                </a:xfrm>
                                                <a:prstGeom prst="rect">
                                                  <a:avLst/>
                                                </a:prstGeom>
                                              </pic:spPr>
                                            </pic:pic>
                                          </a:graphicData>
                                        </a:graphic>
                                      </wp:inline>
                                    </w:drawing>
                                  </w:r>
                                  <w:r>
                                    <w:rPr/>
                                    <w:t xml:space="preserve"> </w:t>
                                  </w:r>
                                </w:p>
                              </w:tc>
                              <w:tc>
                                <w:tcPr>
                                  <w:tcW w:w="207" w:type="dxa"/>
                                  <w:tcBorders/>
                                  <w:shd w:fill="E5E5E5" w:val="clear"/>
                                  <w:vAlign w:val="center"/>
                                </w:tcPr>
                                <w:p>
                                  <w:pPr>
                                    <w:pStyle w:val="TableContents"/>
                                    <w:bidi w:val="0"/>
                                    <w:spacing w:before="0" w:after="283"/>
                                    <w:jc w:val="left"/>
                                    <w:rPr/>
                                  </w:pPr>
                                  <w:r>
                                    <w:rPr/>
                                    <w:t>​</w:t>
                                  </w:r>
                                </w:p>
                              </w:tc>
                              <w:tc>
                                <w:tcPr>
                                  <w:tcW w:w="207" w:type="dxa"/>
                                  <w:tcBorders/>
                                  <w:shd w:fill="E5E5E5" w:val="clear"/>
                                  <w:vAlign w:val="center"/>
                                </w:tcPr>
                                <w:p>
                                  <w:pPr>
                                    <w:pStyle w:val="TableContents"/>
                                    <w:bidi w:val="0"/>
                                    <w:spacing w:before="0" w:after="283"/>
                                    <w:jc w:val="left"/>
                                    <w:rPr/>
                                  </w:pPr>
                                  <w:r>
                                    <w:rPr/>
                                    <w:t>​</w:t>
                                  </w:r>
                                </w:p>
                              </w:tc>
                              <w:tc>
                                <w:tcPr>
                                  <w:tcW w:w="3577" w:type="dxa"/>
                                  <w:tcBorders/>
                                  <w:shd w:fill="E5E5E5" w:val="clear"/>
                                  <w:vAlign w:val="center"/>
                                </w:tcPr>
                                <w:p>
                                  <w:pPr>
                                    <w:pStyle w:val="TableContents"/>
                                    <w:bidi w:val="0"/>
                                    <w:spacing w:lineRule="atLeast" w:line="760" w:before="0" w:after="0"/>
                                    <w:jc w:val="left"/>
                                    <w:rPr>
                                      <w:rFonts w:ascii="Tahoma;Geneva;sans-serif" w:hAnsi="Tahoma;Geneva;sans-serif"/>
                                      <w:b/>
                                      <w:color w:val="0068C7"/>
                                      <w:sz w:val="70"/>
                                    </w:rPr>
                                  </w:pPr>
                                  <w:r>
                                    <w:rPr>
                                      <w:rFonts w:ascii="Tahoma;Geneva;sans-serif" w:hAnsi="Tahoma;Geneva;sans-serif"/>
                                      <w:b/>
                                      <w:color w:val="0068C7"/>
                                      <w:sz w:val="70"/>
                                    </w:rPr>
                                    <w:t>233 BPS</w:t>
                                  </w:r>
                                  <w:r>
                                    <w:rPr>
                                      <w:rFonts w:ascii="Tahoma;Geneva;sans-serif" w:hAnsi="Tahoma;Geneva;sans-serif"/>
                                      <w:b/>
                                      <w:color w:val="000000"/>
                                      <w:sz w:val="70"/>
                                    </w:rPr>
                                    <w:t>​</w:t>
                                  </w:r>
                                </w:p>
                                <w:p>
                                  <w:pPr>
                                    <w:pStyle w:val="TableContents"/>
                                    <w:bidi w:val="0"/>
                                    <w:spacing w:lineRule="atLeast" w:line="300" w:before="60" w:after="283"/>
                                    <w:jc w:val="left"/>
                                    <w:rPr>
                                      <w:rFonts w:ascii="Tahoma;Geneva;sans-serif" w:hAnsi="Tahoma;Geneva;sans-serif"/>
                                      <w:b/>
                                    </w:rPr>
                                  </w:pPr>
                                  <w:r>
                                    <w:rPr>
                                      <w:rFonts w:ascii="Tahoma;Geneva;sans-serif" w:hAnsi="Tahoma;Geneva;sans-serif"/>
                                      <w:b/>
                                    </w:rPr>
                                    <w:t>GAAP GROSS MARGIN</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592" w:type="dxa"/>
                                  <w:tcBorders/>
                                  <w:shd w:fill="E5E5E5" w:val="clear"/>
                                  <w:vAlign w:val="center"/>
                                </w:tcPr>
                                <w:p>
                                  <w:pPr>
                                    <w:pStyle w:val="TableContents"/>
                                    <w:bidi w:val="0"/>
                                    <w:spacing w:before="0" w:after="0"/>
                                    <w:ind w:left="400" w:right="0" w:hanging="0"/>
                                    <w:jc w:val="left"/>
                                    <w:rPr/>
                                  </w:pPr>
                                  <w:r>
                                    <w:rPr/>
                                    <w:drawing>
                                      <wp:inline distT="0" distB="0" distL="0" distR="0">
                                        <wp:extent cx="142875" cy="304800"/>
                                        <wp:effectExtent l="0" t="0" r="0" b="0"/>
                                        <wp:docPr id="3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2" descr=""/>
                                                <pic:cNvPicPr>
                                                  <a:picLocks noChangeAspect="1" noChangeArrowheads="1"/>
                                                </pic:cNvPicPr>
                                              </pic:nvPicPr>
                                              <pic:blipFill>
                                                <a:blip r:embed="rId17"/>
                                                <a:stretch>
                                                  <a:fillRect/>
                                                </a:stretch>
                                              </pic:blipFill>
                                              <pic:spPr bwMode="auto">
                                                <a:xfrm>
                                                  <a:off x="0" y="0"/>
                                                  <a:ext cx="142875" cy="304800"/>
                                                </a:xfrm>
                                                <a:prstGeom prst="rect">
                                                  <a:avLst/>
                                                </a:prstGeom>
                                              </pic:spPr>
                                            </pic:pic>
                                          </a:graphicData>
                                        </a:graphic>
                                      </wp:inline>
                                    </w:drawing>
                                  </w:r>
                                  <w:r>
                                    <w:rPr/>
                                    <w:t xml:space="preserve"> </w:t>
                                  </w:r>
                                </w:p>
                              </w:tc>
                              <w:tc>
                                <w:tcPr>
                                  <w:tcW w:w="207" w:type="dxa"/>
                                  <w:tcBorders/>
                                  <w:shd w:fill="E5E5E5" w:val="clear"/>
                                  <w:vAlign w:val="center"/>
                                </w:tcPr>
                                <w:p>
                                  <w:pPr>
                                    <w:pStyle w:val="TableContents"/>
                                    <w:bidi w:val="0"/>
                                    <w:spacing w:before="0" w:after="283"/>
                                    <w:jc w:val="left"/>
                                    <w:rPr/>
                                  </w:pPr>
                                  <w:r>
                                    <w:rPr/>
                                    <w:t>​</w:t>
                                  </w:r>
                                </w:p>
                              </w:tc>
                              <w:tc>
                                <w:tcPr>
                                  <w:tcW w:w="207" w:type="dxa"/>
                                  <w:tcBorders/>
                                  <w:shd w:fill="E5E5E5" w:val="clear"/>
                                  <w:vAlign w:val="center"/>
                                </w:tcPr>
                                <w:p>
                                  <w:pPr>
                                    <w:pStyle w:val="TableContents"/>
                                    <w:bidi w:val="0"/>
                                    <w:spacing w:before="0" w:after="283"/>
                                    <w:jc w:val="left"/>
                                    <w:rPr/>
                                  </w:pPr>
                                  <w:r>
                                    <w:rPr/>
                                    <w:t>​</w:t>
                                  </w:r>
                                </w:p>
                              </w:tc>
                              <w:tc>
                                <w:tcPr>
                                  <w:tcW w:w="3577" w:type="dxa"/>
                                  <w:tcBorders/>
                                  <w:shd w:fill="E5E5E5" w:val="clear"/>
                                  <w:vAlign w:val="center"/>
                                </w:tcPr>
                                <w:p>
                                  <w:pPr>
                                    <w:pStyle w:val="TableContents"/>
                                    <w:bidi w:val="0"/>
                                    <w:spacing w:lineRule="atLeast" w:line="760" w:before="0" w:after="0"/>
                                    <w:jc w:val="left"/>
                                    <w:rPr>
                                      <w:rFonts w:ascii="Tahoma;Geneva;sans-serif" w:hAnsi="Tahoma;Geneva;sans-serif"/>
                                      <w:b/>
                                      <w:color w:val="0068C7"/>
                                      <w:sz w:val="70"/>
                                    </w:rPr>
                                  </w:pPr>
                                  <w:r>
                                    <w:rPr>
                                      <w:rFonts w:ascii="Tahoma;Geneva;sans-serif" w:hAnsi="Tahoma;Geneva;sans-serif"/>
                                      <w:b/>
                                      <w:color w:val="0068C7"/>
                                      <w:sz w:val="70"/>
                                    </w:rPr>
                                    <w:t>$4.64</w:t>
                                  </w:r>
                                  <w:r>
                                    <w:rPr>
                                      <w:rFonts w:ascii="Tahoma;Geneva;sans-serif" w:hAnsi="Tahoma;Geneva;sans-serif"/>
                                      <w:b/>
                                      <w:color w:val="000000"/>
                                      <w:sz w:val="70"/>
                                    </w:rPr>
                                    <w:t>​</w:t>
                                  </w:r>
                                </w:p>
                                <w:p>
                                  <w:pPr>
                                    <w:pStyle w:val="TableContents"/>
                                    <w:bidi w:val="0"/>
                                    <w:spacing w:lineRule="atLeast" w:line="300" w:before="60" w:after="283"/>
                                    <w:jc w:val="left"/>
                                    <w:rPr>
                                      <w:rFonts w:ascii="Tahoma;Geneva;sans-serif" w:hAnsi="Tahoma;Geneva;sans-serif"/>
                                      <w:b/>
                                    </w:rPr>
                                  </w:pPr>
                                  <w:r>
                                    <w:rPr>
                                      <w:rFonts w:ascii="Tahoma;Geneva;sans-serif" w:hAnsi="Tahoma;Geneva;sans-serif"/>
                                      <w:b/>
                                    </w:rPr>
                                    <w:t>GAAP EPS</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592" w:type="dxa"/>
                                  <w:tcBorders/>
                                  <w:shd w:fill="E5E5E5" w:val="clear"/>
                                  <w:vAlign w:val="center"/>
                                </w:tcPr>
                                <w:p>
                                  <w:pPr>
                                    <w:pStyle w:val="TableContents"/>
                                    <w:bidi w:val="0"/>
                                    <w:spacing w:before="0" w:after="0"/>
                                    <w:ind w:left="400" w:right="0" w:hanging="0"/>
                                    <w:jc w:val="left"/>
                                    <w:rPr/>
                                  </w:pPr>
                                  <w:r>
                                    <w:rPr/>
                                    <w:drawing>
                                      <wp:inline distT="0" distB="0" distL="0" distR="0">
                                        <wp:extent cx="142875" cy="304800"/>
                                        <wp:effectExtent l="0" t="0" r="0" b="0"/>
                                        <wp:docPr id="3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3" descr=""/>
                                                <pic:cNvPicPr>
                                                  <a:picLocks noChangeAspect="1" noChangeArrowheads="1"/>
                                                </pic:cNvPicPr>
                                              </pic:nvPicPr>
                                              <pic:blipFill>
                                                <a:blip r:embed="rId18"/>
                                                <a:stretch>
                                                  <a:fillRect/>
                                                </a:stretch>
                                              </pic:blipFill>
                                              <pic:spPr bwMode="auto">
                                                <a:xfrm>
                                                  <a:off x="0" y="0"/>
                                                  <a:ext cx="142875" cy="304800"/>
                                                </a:xfrm>
                                                <a:prstGeom prst="rect">
                                                  <a:avLst/>
                                                </a:prstGeom>
                                              </pic:spPr>
                                            </pic:pic>
                                          </a:graphicData>
                                        </a:graphic>
                                      </wp:inline>
                                    </w:drawing>
                                  </w:r>
                                  <w:r>
                                    <w:rPr/>
                                    <w:t xml:space="preserve"> </w:t>
                                  </w:r>
                                </w:p>
                              </w:tc>
                              <w:tc>
                                <w:tcPr>
                                  <w:tcW w:w="207" w:type="dxa"/>
                                  <w:tcBorders/>
                                  <w:shd w:fill="E5E5E5" w:val="clear"/>
                                  <w:vAlign w:val="center"/>
                                </w:tcPr>
                                <w:p>
                                  <w:pPr>
                                    <w:pStyle w:val="TableContents"/>
                                    <w:bidi w:val="0"/>
                                    <w:spacing w:before="0" w:after="283"/>
                                    <w:jc w:val="left"/>
                                    <w:rPr/>
                                  </w:pPr>
                                  <w:r>
                                    <w:rPr/>
                                    <w:t>​</w:t>
                                  </w:r>
                                </w:p>
                              </w:tc>
                              <w:tc>
                                <w:tcPr>
                                  <w:tcW w:w="207" w:type="dxa"/>
                                  <w:tcBorders/>
                                  <w:shd w:fill="E5E5E5" w:val="clear"/>
                                  <w:vAlign w:val="center"/>
                                </w:tcPr>
                                <w:p>
                                  <w:pPr>
                                    <w:pStyle w:val="TableContents"/>
                                    <w:bidi w:val="0"/>
                                    <w:spacing w:before="0" w:after="283"/>
                                    <w:jc w:val="left"/>
                                    <w:rPr/>
                                  </w:pPr>
                                  <w:r>
                                    <w:rPr/>
                                    <w:t>​</w:t>
                                  </w:r>
                                </w:p>
                              </w:tc>
                              <w:tc>
                                <w:tcPr>
                                  <w:tcW w:w="3577" w:type="dxa"/>
                                  <w:tcBorders/>
                                  <w:shd w:fill="E5E5E5" w:val="clear"/>
                                  <w:vAlign w:val="center"/>
                                </w:tcPr>
                                <w:p>
                                  <w:pPr>
                                    <w:pStyle w:val="TableContents"/>
                                    <w:bidi w:val="0"/>
                                    <w:spacing w:lineRule="atLeast" w:line="760" w:before="0" w:after="0"/>
                                    <w:jc w:val="left"/>
                                    <w:rPr>
                                      <w:rFonts w:ascii="Tahoma;Geneva;sans-serif" w:hAnsi="Tahoma;Geneva;sans-serif"/>
                                      <w:b/>
                                      <w:color w:val="0068C7"/>
                                      <w:sz w:val="70"/>
                                    </w:rPr>
                                  </w:pPr>
                                  <w:r>
                                    <w:rPr>
                                      <w:rFonts w:ascii="Tahoma;Geneva;sans-serif" w:hAnsi="Tahoma;Geneva;sans-serif"/>
                                      <w:b/>
                                      <w:color w:val="0068C7"/>
                                      <w:sz w:val="70"/>
                                    </w:rPr>
                                    <w:t>342%</w:t>
                                  </w:r>
                                  <w:r>
                                    <w:rPr>
                                      <w:rFonts w:ascii="Tahoma;Geneva;sans-serif" w:hAnsi="Tahoma;Geneva;sans-serif"/>
                                      <w:b/>
                                      <w:color w:val="000000"/>
                                      <w:sz w:val="70"/>
                                    </w:rPr>
                                    <w:t>​</w:t>
                                  </w:r>
                                </w:p>
                                <w:p>
                                  <w:pPr>
                                    <w:pStyle w:val="TableContents"/>
                                    <w:bidi w:val="0"/>
                                    <w:spacing w:lineRule="atLeast" w:line="300" w:before="60" w:after="283"/>
                                    <w:jc w:val="left"/>
                                    <w:rPr>
                                      <w:rFonts w:ascii="Tahoma;Geneva;sans-serif" w:hAnsi="Tahoma;Geneva;sans-serif"/>
                                      <w:b/>
                                    </w:rPr>
                                  </w:pPr>
                                  <w:r>
                                    <w:rPr>
                                      <w:rFonts w:ascii="Tahoma;Geneva;sans-serif" w:hAnsi="Tahoma;Geneva;sans-serif"/>
                                      <w:b/>
                                    </w:rPr>
                                    <w:t>TSR</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4583" w:type="dxa"/>
                                  <w:gridSpan w:val="4"/>
                                  <w:tcBorders/>
                                  <w:shd w:fill="E5E5E5" w:val="clear"/>
                                  <w:vAlign w:val="center"/>
                                </w:tcPr>
                                <w:p>
                                  <w:pPr>
                                    <w:pStyle w:val="TableContents"/>
                                    <w:bidi w:val="0"/>
                                    <w:spacing w:before="0" w:after="0"/>
                                    <w:jc w:val="left"/>
                                    <w:rPr/>
                                  </w:pPr>
                                  <w:r>
                                    <w:rPr/>
                                    <w:drawing>
                                      <wp:inline distT="0" distB="0" distL="0" distR="0">
                                        <wp:extent cx="2819400" cy="3771900"/>
                                        <wp:effectExtent l="0" t="0" r="0" b="0"/>
                                        <wp:docPr id="3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4" descr=""/>
                                                <pic:cNvPicPr>
                                                  <a:picLocks noChangeAspect="1" noChangeArrowheads="1"/>
                                                </pic:cNvPicPr>
                                              </pic:nvPicPr>
                                              <pic:blipFill>
                                                <a:blip r:embed="rId19"/>
                                                <a:stretch>
                                                  <a:fillRect/>
                                                </a:stretch>
                                              </pic:blipFill>
                                              <pic:spPr bwMode="auto">
                                                <a:xfrm>
                                                  <a:off x="0" y="0"/>
                                                  <a:ext cx="2819400" cy="37719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40" w:right="40" w:hanging="0"/>
                              <w:jc w:val="left"/>
                              <w:rPr/>
                            </w:pPr>
                            <w:r>
                              <w:rPr/>
                            </w:r>
                          </w:p>
                        </w:txbxContent>
                      </wps:txbx>
                      <wps:bodyPr anchor="t" lIns="0" tIns="0" rIns="0" bIns="0">
                        <a:noAutofit/>
                      </wps:bodyPr>
                    </wps:wsp>
                  </a:graphicData>
                </a:graphic>
              </wp:anchor>
            </w:drawing>
          </mc:Choice>
          <mc:Fallback>
            <w:pict>
              <v:rect style="position:absolute;rotation:-0;width:223.65pt;height:680pt;mso-wrap-distance-left:12pt;mso-wrap-distance-right:0pt;mso-wrap-distance-top:0pt;mso-wrap-distance-bottom:0pt;margin-top:0pt;mso-position-vertical:top;mso-position-vertical-relative:text;margin-left:12pt;mso-position-horizontal:left;mso-position-horizontal-relative:text">
                <v:textbox>
                  <w:txbxContent>
                    <w:tbl>
                      <w:tblPr>
                        <w:tblW w:w="4861" w:type="dxa"/>
                        <w:jc w:val="left"/>
                        <w:tblInd w:w="40" w:type="dxa"/>
                        <w:tblLayout w:type="fixed"/>
                        <w:tblCellMar>
                          <w:top w:w="0" w:type="dxa"/>
                          <w:left w:w="0" w:type="dxa"/>
                          <w:bottom w:w="0" w:type="dxa"/>
                          <w:right w:w="0" w:type="dxa"/>
                        </w:tblCellMar>
                      </w:tblPr>
                      <w:tblGrid>
                        <w:gridCol w:w="124"/>
                        <w:gridCol w:w="592"/>
                        <w:gridCol w:w="207"/>
                        <w:gridCol w:w="207"/>
                        <w:gridCol w:w="3577"/>
                        <w:gridCol w:w="154"/>
                      </w:tblGrid>
                      <w:tr>
                        <w:trPr/>
                        <w:tc>
                          <w:tcPr>
                            <w:tcW w:w="124" w:type="dxa"/>
                            <w:tcBorders/>
                            <w:shd w:fill="E5E5E5" w:val="clear"/>
                            <w:vAlign w:val="center"/>
                          </w:tcPr>
                          <w:p>
                            <w:pPr>
                              <w:pStyle w:val="TableContents"/>
                              <w:bidi w:val="0"/>
                              <w:spacing w:before="0" w:after="283"/>
                              <w:jc w:val="left"/>
                              <w:rPr/>
                            </w:pPr>
                            <w:r>
                              <w:rPr/>
                              <w:t>​</w:t>
                            </w:r>
                          </w:p>
                        </w:tc>
                        <w:tc>
                          <w:tcPr>
                            <w:tcW w:w="4583" w:type="dxa"/>
                            <w:gridSpan w:val="4"/>
                            <w:tcBorders/>
                            <w:shd w:fill="E5E5E5" w:val="clear"/>
                            <w:vAlign w:val="center"/>
                          </w:tcPr>
                          <w:p>
                            <w:pPr>
                              <w:pStyle w:val="TableContents"/>
                              <w:bidi w:val="0"/>
                              <w:spacing w:lineRule="atLeast" w:line="460" w:before="0" w:after="0"/>
                              <w:ind w:left="400" w:right="0" w:hanging="0"/>
                              <w:jc w:val="left"/>
                              <w:rPr/>
                            </w:pPr>
                            <w:r>
                              <w:rPr/>
                              <w:t xml:space="preserve">FISCAL YEAR 2026 </w:t>
                              <w:br/>
                              <w:t>PERFORMANCE</w:t>
                              <w:br/>
                              <w:t>HIGHLIGHTS</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592" w:type="dxa"/>
                            <w:tcBorders/>
                            <w:shd w:fill="E5E5E5" w:val="clear"/>
                            <w:vAlign w:val="center"/>
                          </w:tcPr>
                          <w:p>
                            <w:pPr>
                              <w:pStyle w:val="TableContents"/>
                              <w:bidi w:val="0"/>
                              <w:spacing w:before="0" w:after="0"/>
                              <w:ind w:left="400" w:right="0" w:hanging="0"/>
                              <w:jc w:val="left"/>
                              <w:rPr/>
                            </w:pPr>
                            <w:r>
                              <w:rPr/>
                              <w:drawing>
                                <wp:inline distT="0" distB="0" distL="0" distR="0">
                                  <wp:extent cx="142875" cy="304800"/>
                                  <wp:effectExtent l="0" t="0" r="0" b="0"/>
                                  <wp:docPr id="3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0" descr=""/>
                                          <pic:cNvPicPr>
                                            <a:picLocks noChangeAspect="1" noChangeArrowheads="1"/>
                                          </pic:cNvPicPr>
                                        </pic:nvPicPr>
                                        <pic:blipFill>
                                          <a:blip r:embed="rId20"/>
                                          <a:stretch>
                                            <a:fillRect/>
                                          </a:stretch>
                                        </pic:blipFill>
                                        <pic:spPr bwMode="auto">
                                          <a:xfrm>
                                            <a:off x="0" y="0"/>
                                            <a:ext cx="142875" cy="304800"/>
                                          </a:xfrm>
                                          <a:prstGeom prst="rect">
                                            <a:avLst/>
                                          </a:prstGeom>
                                        </pic:spPr>
                                      </pic:pic>
                                    </a:graphicData>
                                  </a:graphic>
                                </wp:inline>
                              </w:drawing>
                            </w:r>
                            <w:r>
                              <w:rPr/>
                              <w:t xml:space="preserve"> </w:t>
                            </w:r>
                          </w:p>
                        </w:tc>
                        <w:tc>
                          <w:tcPr>
                            <w:tcW w:w="207" w:type="dxa"/>
                            <w:tcBorders/>
                            <w:shd w:fill="E5E5E5" w:val="clear"/>
                            <w:vAlign w:val="center"/>
                          </w:tcPr>
                          <w:p>
                            <w:pPr>
                              <w:pStyle w:val="TableContents"/>
                              <w:bidi w:val="0"/>
                              <w:spacing w:before="0" w:after="283"/>
                              <w:jc w:val="left"/>
                              <w:rPr/>
                            </w:pPr>
                            <w:r>
                              <w:rPr/>
                              <w:t>​</w:t>
                            </w:r>
                          </w:p>
                        </w:tc>
                        <w:tc>
                          <w:tcPr>
                            <w:tcW w:w="207" w:type="dxa"/>
                            <w:tcBorders/>
                            <w:shd w:fill="E5E5E5" w:val="clear"/>
                            <w:vAlign w:val="center"/>
                          </w:tcPr>
                          <w:p>
                            <w:pPr>
                              <w:pStyle w:val="TableContents"/>
                              <w:bidi w:val="0"/>
                              <w:spacing w:before="0" w:after="283"/>
                              <w:jc w:val="left"/>
                              <w:rPr/>
                            </w:pPr>
                            <w:r>
                              <w:rPr/>
                              <w:t>​</w:t>
                            </w:r>
                          </w:p>
                        </w:tc>
                        <w:tc>
                          <w:tcPr>
                            <w:tcW w:w="3577" w:type="dxa"/>
                            <w:tcBorders/>
                            <w:shd w:fill="E5E5E5" w:val="clear"/>
                            <w:vAlign w:val="center"/>
                          </w:tcPr>
                          <w:p>
                            <w:pPr>
                              <w:pStyle w:val="TableContents"/>
                              <w:bidi w:val="0"/>
                              <w:spacing w:lineRule="atLeast" w:line="760" w:before="0" w:after="0"/>
                              <w:jc w:val="left"/>
                              <w:rPr>
                                <w:rFonts w:ascii="Tahoma;Geneva;sans-serif" w:hAnsi="Tahoma;Geneva;sans-serif"/>
                                <w:b/>
                                <w:color w:val="0068C7"/>
                                <w:sz w:val="70"/>
                              </w:rPr>
                            </w:pPr>
                            <w:r>
                              <w:rPr>
                                <w:rFonts w:ascii="Tahoma;Geneva;sans-serif" w:hAnsi="Tahoma;Geneva;sans-serif"/>
                                <w:b/>
                                <w:color w:val="0068C7"/>
                                <w:sz w:val="70"/>
                              </w:rPr>
                              <w:t>22.5%</w:t>
                            </w:r>
                            <w:r>
                              <w:rPr>
                                <w:rFonts w:ascii="Tahoma;Geneva;sans-serif" w:hAnsi="Tahoma;Geneva;sans-serif"/>
                                <w:b/>
                                <w:color w:val="000000"/>
                                <w:sz w:val="70"/>
                              </w:rPr>
                              <w:t>​</w:t>
                            </w:r>
                          </w:p>
                          <w:p>
                            <w:pPr>
                              <w:pStyle w:val="TableContents"/>
                              <w:bidi w:val="0"/>
                              <w:spacing w:lineRule="atLeast" w:line="300" w:before="60" w:after="283"/>
                              <w:jc w:val="left"/>
                              <w:rPr>
                                <w:rFonts w:ascii="Tahoma;Geneva;sans-serif" w:hAnsi="Tahoma;Geneva;sans-serif"/>
                                <w:b/>
                              </w:rPr>
                            </w:pPr>
                            <w:r>
                              <w:rPr>
                                <w:rFonts w:ascii="Tahoma;Geneva;sans-serif" w:hAnsi="Tahoma;Geneva;sans-serif"/>
                                <w:b/>
                              </w:rPr>
                              <w:t>REVENUE</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592" w:type="dxa"/>
                            <w:tcBorders/>
                            <w:shd w:fill="E5E5E5" w:val="clear"/>
                            <w:vAlign w:val="center"/>
                          </w:tcPr>
                          <w:p>
                            <w:pPr>
                              <w:pStyle w:val="TableContents"/>
                              <w:bidi w:val="0"/>
                              <w:spacing w:before="0" w:after="0"/>
                              <w:ind w:left="400" w:right="0" w:hanging="0"/>
                              <w:jc w:val="left"/>
                              <w:rPr/>
                            </w:pPr>
                            <w:r>
                              <w:rPr/>
                              <w:drawing>
                                <wp:inline distT="0" distB="0" distL="0" distR="0">
                                  <wp:extent cx="142875" cy="304800"/>
                                  <wp:effectExtent l="0" t="0" r="0" b="0"/>
                                  <wp:docPr id="3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1" descr=""/>
                                          <pic:cNvPicPr>
                                            <a:picLocks noChangeAspect="1" noChangeArrowheads="1"/>
                                          </pic:cNvPicPr>
                                        </pic:nvPicPr>
                                        <pic:blipFill>
                                          <a:blip r:embed="rId21"/>
                                          <a:stretch>
                                            <a:fillRect/>
                                          </a:stretch>
                                        </pic:blipFill>
                                        <pic:spPr bwMode="auto">
                                          <a:xfrm>
                                            <a:off x="0" y="0"/>
                                            <a:ext cx="142875" cy="304800"/>
                                          </a:xfrm>
                                          <a:prstGeom prst="rect">
                                            <a:avLst/>
                                          </a:prstGeom>
                                        </pic:spPr>
                                      </pic:pic>
                                    </a:graphicData>
                                  </a:graphic>
                                </wp:inline>
                              </w:drawing>
                            </w:r>
                            <w:r>
                              <w:rPr/>
                              <w:t xml:space="preserve"> </w:t>
                            </w:r>
                          </w:p>
                        </w:tc>
                        <w:tc>
                          <w:tcPr>
                            <w:tcW w:w="207" w:type="dxa"/>
                            <w:tcBorders/>
                            <w:shd w:fill="E5E5E5" w:val="clear"/>
                            <w:vAlign w:val="center"/>
                          </w:tcPr>
                          <w:p>
                            <w:pPr>
                              <w:pStyle w:val="TableContents"/>
                              <w:bidi w:val="0"/>
                              <w:spacing w:before="0" w:after="283"/>
                              <w:jc w:val="left"/>
                              <w:rPr/>
                            </w:pPr>
                            <w:r>
                              <w:rPr/>
                              <w:t>​</w:t>
                            </w:r>
                          </w:p>
                        </w:tc>
                        <w:tc>
                          <w:tcPr>
                            <w:tcW w:w="207" w:type="dxa"/>
                            <w:tcBorders/>
                            <w:shd w:fill="E5E5E5" w:val="clear"/>
                            <w:vAlign w:val="center"/>
                          </w:tcPr>
                          <w:p>
                            <w:pPr>
                              <w:pStyle w:val="TableContents"/>
                              <w:bidi w:val="0"/>
                              <w:spacing w:before="0" w:after="283"/>
                              <w:jc w:val="left"/>
                              <w:rPr/>
                            </w:pPr>
                            <w:r>
                              <w:rPr/>
                              <w:t>​</w:t>
                            </w:r>
                          </w:p>
                        </w:tc>
                        <w:tc>
                          <w:tcPr>
                            <w:tcW w:w="3577" w:type="dxa"/>
                            <w:tcBorders/>
                            <w:shd w:fill="E5E5E5" w:val="clear"/>
                            <w:vAlign w:val="center"/>
                          </w:tcPr>
                          <w:p>
                            <w:pPr>
                              <w:pStyle w:val="TableContents"/>
                              <w:bidi w:val="0"/>
                              <w:spacing w:lineRule="atLeast" w:line="760" w:before="0" w:after="0"/>
                              <w:jc w:val="left"/>
                              <w:rPr>
                                <w:rFonts w:ascii="Tahoma;Geneva;sans-serif" w:hAnsi="Tahoma;Geneva;sans-serif"/>
                                <w:b/>
                                <w:color w:val="0068C7"/>
                                <w:sz w:val="70"/>
                              </w:rPr>
                            </w:pPr>
                            <w:r>
                              <w:rPr>
                                <w:rFonts w:ascii="Tahoma;Geneva;sans-serif" w:hAnsi="Tahoma;Geneva;sans-serif"/>
                                <w:b/>
                                <w:color w:val="0068C7"/>
                                <w:sz w:val="70"/>
                              </w:rPr>
                              <w:t>233 BPS</w:t>
                            </w:r>
                            <w:r>
                              <w:rPr>
                                <w:rFonts w:ascii="Tahoma;Geneva;sans-serif" w:hAnsi="Tahoma;Geneva;sans-serif"/>
                                <w:b/>
                                <w:color w:val="000000"/>
                                <w:sz w:val="70"/>
                              </w:rPr>
                              <w:t>​</w:t>
                            </w:r>
                          </w:p>
                          <w:p>
                            <w:pPr>
                              <w:pStyle w:val="TableContents"/>
                              <w:bidi w:val="0"/>
                              <w:spacing w:lineRule="atLeast" w:line="300" w:before="60" w:after="283"/>
                              <w:jc w:val="left"/>
                              <w:rPr>
                                <w:rFonts w:ascii="Tahoma;Geneva;sans-serif" w:hAnsi="Tahoma;Geneva;sans-serif"/>
                                <w:b/>
                              </w:rPr>
                            </w:pPr>
                            <w:r>
                              <w:rPr>
                                <w:rFonts w:ascii="Tahoma;Geneva;sans-serif" w:hAnsi="Tahoma;Geneva;sans-serif"/>
                                <w:b/>
                              </w:rPr>
                              <w:t>GAAP GROSS MARGIN</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592" w:type="dxa"/>
                            <w:tcBorders/>
                            <w:shd w:fill="E5E5E5" w:val="clear"/>
                            <w:vAlign w:val="center"/>
                          </w:tcPr>
                          <w:p>
                            <w:pPr>
                              <w:pStyle w:val="TableContents"/>
                              <w:bidi w:val="0"/>
                              <w:spacing w:before="0" w:after="0"/>
                              <w:ind w:left="400" w:right="0" w:hanging="0"/>
                              <w:jc w:val="left"/>
                              <w:rPr/>
                            </w:pPr>
                            <w:r>
                              <w:rPr/>
                              <w:drawing>
                                <wp:inline distT="0" distB="0" distL="0" distR="0">
                                  <wp:extent cx="142875" cy="304800"/>
                                  <wp:effectExtent l="0" t="0" r="0" b="0"/>
                                  <wp:docPr id="3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2" descr=""/>
                                          <pic:cNvPicPr>
                                            <a:picLocks noChangeAspect="1" noChangeArrowheads="1"/>
                                          </pic:cNvPicPr>
                                        </pic:nvPicPr>
                                        <pic:blipFill>
                                          <a:blip r:embed="rId22"/>
                                          <a:stretch>
                                            <a:fillRect/>
                                          </a:stretch>
                                        </pic:blipFill>
                                        <pic:spPr bwMode="auto">
                                          <a:xfrm>
                                            <a:off x="0" y="0"/>
                                            <a:ext cx="142875" cy="304800"/>
                                          </a:xfrm>
                                          <a:prstGeom prst="rect">
                                            <a:avLst/>
                                          </a:prstGeom>
                                        </pic:spPr>
                                      </pic:pic>
                                    </a:graphicData>
                                  </a:graphic>
                                </wp:inline>
                              </w:drawing>
                            </w:r>
                            <w:r>
                              <w:rPr/>
                              <w:t xml:space="preserve"> </w:t>
                            </w:r>
                          </w:p>
                        </w:tc>
                        <w:tc>
                          <w:tcPr>
                            <w:tcW w:w="207" w:type="dxa"/>
                            <w:tcBorders/>
                            <w:shd w:fill="E5E5E5" w:val="clear"/>
                            <w:vAlign w:val="center"/>
                          </w:tcPr>
                          <w:p>
                            <w:pPr>
                              <w:pStyle w:val="TableContents"/>
                              <w:bidi w:val="0"/>
                              <w:spacing w:before="0" w:after="283"/>
                              <w:jc w:val="left"/>
                              <w:rPr/>
                            </w:pPr>
                            <w:r>
                              <w:rPr/>
                              <w:t>​</w:t>
                            </w:r>
                          </w:p>
                        </w:tc>
                        <w:tc>
                          <w:tcPr>
                            <w:tcW w:w="207" w:type="dxa"/>
                            <w:tcBorders/>
                            <w:shd w:fill="E5E5E5" w:val="clear"/>
                            <w:vAlign w:val="center"/>
                          </w:tcPr>
                          <w:p>
                            <w:pPr>
                              <w:pStyle w:val="TableContents"/>
                              <w:bidi w:val="0"/>
                              <w:spacing w:before="0" w:after="283"/>
                              <w:jc w:val="left"/>
                              <w:rPr/>
                            </w:pPr>
                            <w:r>
                              <w:rPr/>
                              <w:t>​</w:t>
                            </w:r>
                          </w:p>
                        </w:tc>
                        <w:tc>
                          <w:tcPr>
                            <w:tcW w:w="3577" w:type="dxa"/>
                            <w:tcBorders/>
                            <w:shd w:fill="E5E5E5" w:val="clear"/>
                            <w:vAlign w:val="center"/>
                          </w:tcPr>
                          <w:p>
                            <w:pPr>
                              <w:pStyle w:val="TableContents"/>
                              <w:bidi w:val="0"/>
                              <w:spacing w:lineRule="atLeast" w:line="760" w:before="0" w:after="0"/>
                              <w:jc w:val="left"/>
                              <w:rPr>
                                <w:rFonts w:ascii="Tahoma;Geneva;sans-serif" w:hAnsi="Tahoma;Geneva;sans-serif"/>
                                <w:b/>
                                <w:color w:val="0068C7"/>
                                <w:sz w:val="70"/>
                              </w:rPr>
                            </w:pPr>
                            <w:r>
                              <w:rPr>
                                <w:rFonts w:ascii="Tahoma;Geneva;sans-serif" w:hAnsi="Tahoma;Geneva;sans-serif"/>
                                <w:b/>
                                <w:color w:val="0068C7"/>
                                <w:sz w:val="70"/>
                              </w:rPr>
                              <w:t>$4.64</w:t>
                            </w:r>
                            <w:r>
                              <w:rPr>
                                <w:rFonts w:ascii="Tahoma;Geneva;sans-serif" w:hAnsi="Tahoma;Geneva;sans-serif"/>
                                <w:b/>
                                <w:color w:val="000000"/>
                                <w:sz w:val="70"/>
                              </w:rPr>
                              <w:t>​</w:t>
                            </w:r>
                          </w:p>
                          <w:p>
                            <w:pPr>
                              <w:pStyle w:val="TableContents"/>
                              <w:bidi w:val="0"/>
                              <w:spacing w:lineRule="atLeast" w:line="300" w:before="60" w:after="283"/>
                              <w:jc w:val="left"/>
                              <w:rPr>
                                <w:rFonts w:ascii="Tahoma;Geneva;sans-serif" w:hAnsi="Tahoma;Geneva;sans-serif"/>
                                <w:b/>
                              </w:rPr>
                            </w:pPr>
                            <w:r>
                              <w:rPr>
                                <w:rFonts w:ascii="Tahoma;Geneva;sans-serif" w:hAnsi="Tahoma;Geneva;sans-serif"/>
                                <w:b/>
                              </w:rPr>
                              <w:t>GAAP EPS</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592" w:type="dxa"/>
                            <w:tcBorders/>
                            <w:shd w:fill="E5E5E5" w:val="clear"/>
                            <w:vAlign w:val="center"/>
                          </w:tcPr>
                          <w:p>
                            <w:pPr>
                              <w:pStyle w:val="TableContents"/>
                              <w:bidi w:val="0"/>
                              <w:spacing w:before="0" w:after="0"/>
                              <w:ind w:left="400" w:right="0" w:hanging="0"/>
                              <w:jc w:val="left"/>
                              <w:rPr/>
                            </w:pPr>
                            <w:r>
                              <w:rPr/>
                              <w:drawing>
                                <wp:inline distT="0" distB="0" distL="0" distR="0">
                                  <wp:extent cx="142875" cy="304800"/>
                                  <wp:effectExtent l="0" t="0" r="0" b="0"/>
                                  <wp:docPr id="3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3" descr=""/>
                                          <pic:cNvPicPr>
                                            <a:picLocks noChangeAspect="1" noChangeArrowheads="1"/>
                                          </pic:cNvPicPr>
                                        </pic:nvPicPr>
                                        <pic:blipFill>
                                          <a:blip r:embed="rId23"/>
                                          <a:stretch>
                                            <a:fillRect/>
                                          </a:stretch>
                                        </pic:blipFill>
                                        <pic:spPr bwMode="auto">
                                          <a:xfrm>
                                            <a:off x="0" y="0"/>
                                            <a:ext cx="142875" cy="304800"/>
                                          </a:xfrm>
                                          <a:prstGeom prst="rect">
                                            <a:avLst/>
                                          </a:prstGeom>
                                        </pic:spPr>
                                      </pic:pic>
                                    </a:graphicData>
                                  </a:graphic>
                                </wp:inline>
                              </w:drawing>
                            </w:r>
                            <w:r>
                              <w:rPr/>
                              <w:t xml:space="preserve"> </w:t>
                            </w:r>
                          </w:p>
                        </w:tc>
                        <w:tc>
                          <w:tcPr>
                            <w:tcW w:w="207" w:type="dxa"/>
                            <w:tcBorders/>
                            <w:shd w:fill="E5E5E5" w:val="clear"/>
                            <w:vAlign w:val="center"/>
                          </w:tcPr>
                          <w:p>
                            <w:pPr>
                              <w:pStyle w:val="TableContents"/>
                              <w:bidi w:val="0"/>
                              <w:spacing w:before="0" w:after="283"/>
                              <w:jc w:val="left"/>
                              <w:rPr/>
                            </w:pPr>
                            <w:r>
                              <w:rPr/>
                              <w:t>​</w:t>
                            </w:r>
                          </w:p>
                        </w:tc>
                        <w:tc>
                          <w:tcPr>
                            <w:tcW w:w="207" w:type="dxa"/>
                            <w:tcBorders/>
                            <w:shd w:fill="E5E5E5" w:val="clear"/>
                            <w:vAlign w:val="center"/>
                          </w:tcPr>
                          <w:p>
                            <w:pPr>
                              <w:pStyle w:val="TableContents"/>
                              <w:bidi w:val="0"/>
                              <w:spacing w:before="0" w:after="283"/>
                              <w:jc w:val="left"/>
                              <w:rPr/>
                            </w:pPr>
                            <w:r>
                              <w:rPr/>
                              <w:t>​</w:t>
                            </w:r>
                          </w:p>
                        </w:tc>
                        <w:tc>
                          <w:tcPr>
                            <w:tcW w:w="3577" w:type="dxa"/>
                            <w:tcBorders/>
                            <w:shd w:fill="E5E5E5" w:val="clear"/>
                            <w:vAlign w:val="center"/>
                          </w:tcPr>
                          <w:p>
                            <w:pPr>
                              <w:pStyle w:val="TableContents"/>
                              <w:bidi w:val="0"/>
                              <w:spacing w:lineRule="atLeast" w:line="760" w:before="0" w:after="0"/>
                              <w:jc w:val="left"/>
                              <w:rPr>
                                <w:rFonts w:ascii="Tahoma;Geneva;sans-serif" w:hAnsi="Tahoma;Geneva;sans-serif"/>
                                <w:b/>
                                <w:color w:val="0068C7"/>
                                <w:sz w:val="70"/>
                              </w:rPr>
                            </w:pPr>
                            <w:r>
                              <w:rPr>
                                <w:rFonts w:ascii="Tahoma;Geneva;sans-serif" w:hAnsi="Tahoma;Geneva;sans-serif"/>
                                <w:b/>
                                <w:color w:val="0068C7"/>
                                <w:sz w:val="70"/>
                              </w:rPr>
                              <w:t>342%</w:t>
                            </w:r>
                            <w:r>
                              <w:rPr>
                                <w:rFonts w:ascii="Tahoma;Geneva;sans-serif" w:hAnsi="Tahoma;Geneva;sans-serif"/>
                                <w:b/>
                                <w:color w:val="000000"/>
                                <w:sz w:val="70"/>
                              </w:rPr>
                              <w:t>​</w:t>
                            </w:r>
                          </w:p>
                          <w:p>
                            <w:pPr>
                              <w:pStyle w:val="TableContents"/>
                              <w:bidi w:val="0"/>
                              <w:spacing w:lineRule="atLeast" w:line="300" w:before="60" w:after="283"/>
                              <w:jc w:val="left"/>
                              <w:rPr>
                                <w:rFonts w:ascii="Tahoma;Geneva;sans-serif" w:hAnsi="Tahoma;Geneva;sans-serif"/>
                                <w:b/>
                              </w:rPr>
                            </w:pPr>
                            <w:r>
                              <w:rPr>
                                <w:rFonts w:ascii="Tahoma;Geneva;sans-serif" w:hAnsi="Tahoma;Geneva;sans-serif"/>
                                <w:b/>
                              </w:rPr>
                              <w:t>TSR</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4583" w:type="dxa"/>
                            <w:gridSpan w:val="4"/>
                            <w:tcBorders/>
                            <w:shd w:fill="E5E5E5" w:val="clear"/>
                            <w:vAlign w:val="center"/>
                          </w:tcPr>
                          <w:p>
                            <w:pPr>
                              <w:pStyle w:val="TableContents"/>
                              <w:bidi w:val="0"/>
                              <w:spacing w:before="0" w:after="0"/>
                              <w:jc w:val="left"/>
                              <w:rPr/>
                            </w:pPr>
                            <w:r>
                              <w:rPr/>
                              <w:drawing>
                                <wp:inline distT="0" distB="0" distL="0" distR="0">
                                  <wp:extent cx="2819400" cy="3771900"/>
                                  <wp:effectExtent l="0" t="0" r="0" b="0"/>
                                  <wp:docPr id="4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 descr=""/>
                                          <pic:cNvPicPr>
                                            <a:picLocks noChangeAspect="1" noChangeArrowheads="1"/>
                                          </pic:cNvPicPr>
                                        </pic:nvPicPr>
                                        <pic:blipFill>
                                          <a:blip r:embed="rId24"/>
                                          <a:stretch>
                                            <a:fillRect/>
                                          </a:stretch>
                                        </pic:blipFill>
                                        <pic:spPr bwMode="auto">
                                          <a:xfrm>
                                            <a:off x="0" y="0"/>
                                            <a:ext cx="2819400" cy="37719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40" w:right="40" w:hanging="0"/>
                        <w:jc w:val="left"/>
                        <w:rPr/>
                      </w:pPr>
                      <w:r>
                        <w:rPr/>
                      </w:r>
                    </w:p>
                  </w:txbxContent>
                </v:textbox>
                <w10:wrap type="square" side="right"/>
              </v:rect>
            </w:pict>
          </mc:Fallback>
        </mc:AlternateContent>
      </w:r>
      <w:r>
        <mc:AlternateContent>
          <mc:Choice Requires="wps">
            <w:drawing>
              <wp:anchor behindDoc="0" distT="50800" distB="0" distL="127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41"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9850" distB="0" distL="127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42"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5.5pt;mso-wrap-distance-bottom:0pt;margin-top:5.5pt;mso-position-vertical:top;mso-position-vertical-relative:text;margin-left:10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9850" distB="0" distL="127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43"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5.5pt;mso-wrap-distance-bottom:0pt;margin-top:5.5pt;mso-position-vertical:top;mso-position-vertical-relative:text;margin-left:10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9850" distB="0" distL="127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44"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5.5pt;mso-wrap-distance-bottom:0pt;margin-top:5.5pt;mso-position-vertical:top;mso-position-vertical-relative:text;margin-left:10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95250" distB="0" distL="127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45"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5pt;mso-wrap-distance-bottom:0pt;margin-top:7.5pt;mso-position-vertical:top;mso-position-vertical-relative:text;margin-left:10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9850" distB="0" distL="127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46"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5.5pt;mso-wrap-distance-bottom:0pt;margin-top:5.5pt;mso-position-vertical:top;mso-position-vertical-relative:text;margin-left:10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9850" distB="0" distL="127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47"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5.5pt;mso-wrap-distance-bottom:0pt;margin-top:5.5pt;mso-position-vertical:top;mso-position-vertical-relative:text;margin-left:10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9850" distB="0" distL="127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48"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5.5pt;mso-wrap-distance-bottom:0pt;margin-top:5.5pt;mso-position-vertical:top;mso-position-vertical-relative:text;margin-left:10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9850" distB="0" distL="127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49"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5.5pt;mso-wrap-distance-bottom:0pt;margin-top:5.5pt;mso-position-vertical:top;mso-position-vertical-relative:text;margin-left:10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5</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440" w:before="120" w:after="283"/>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BOARD OF DIRECTORS</w:t>
      </w:r>
      <w:r>
        <w:rPr>
          <w:rFonts w:ascii="Tahoma;Geneva;sans-serif" w:hAnsi="Tahoma;Geneva;sans-serif"/>
          <w:b/>
          <w:i w:val="false"/>
          <w:caps w:val="false"/>
          <w:smallCaps w:val="false"/>
          <w:color w:val="000000"/>
          <w:spacing w:val="8"/>
          <w:sz w:val="40"/>
          <w:shd w:fill="FFFFFF" w:val="clear"/>
        </w:rPr>
        <w:t xml:space="preserve"> </w:t>
      </w:r>
    </w:p>
    <w:tbl>
      <w:tblPr>
        <w:tblW w:w="10995" w:type="dxa"/>
        <w:jc w:val="left"/>
        <w:tblInd w:w="893" w:type="dxa"/>
        <w:tblLayout w:type="fixed"/>
        <w:tblCellMar>
          <w:top w:w="0" w:type="dxa"/>
          <w:left w:w="0" w:type="dxa"/>
          <w:bottom w:w="0" w:type="dxa"/>
          <w:right w:w="0" w:type="dxa"/>
        </w:tblCellMar>
      </w:tblPr>
      <w:tblGrid>
        <w:gridCol w:w="124"/>
        <w:gridCol w:w="1546"/>
        <w:gridCol w:w="109"/>
        <w:gridCol w:w="109"/>
        <w:gridCol w:w="1370"/>
        <w:gridCol w:w="109"/>
        <w:gridCol w:w="109"/>
        <w:gridCol w:w="657"/>
        <w:gridCol w:w="109"/>
        <w:gridCol w:w="109"/>
        <w:gridCol w:w="511"/>
        <w:gridCol w:w="109"/>
        <w:gridCol w:w="109"/>
        <w:gridCol w:w="886"/>
        <w:gridCol w:w="109"/>
        <w:gridCol w:w="109"/>
        <w:gridCol w:w="1276"/>
        <w:gridCol w:w="109"/>
        <w:gridCol w:w="109"/>
        <w:gridCol w:w="811"/>
        <w:gridCol w:w="109"/>
        <w:gridCol w:w="109"/>
        <w:gridCol w:w="451"/>
        <w:gridCol w:w="109"/>
        <w:gridCol w:w="109"/>
        <w:gridCol w:w="631"/>
        <w:gridCol w:w="109"/>
        <w:gridCol w:w="109"/>
        <w:gridCol w:w="616"/>
        <w:gridCol w:w="154"/>
      </w:tblGrid>
      <w:tr>
        <w:trPr/>
        <w:tc>
          <w:tcPr>
            <w:tcW w:w="124" w:type="dxa"/>
            <w:vMerge w:val="restart"/>
            <w:tcBorders/>
            <w:shd w:fill="000000" w:val="clear"/>
            <w:vAlign w:val="center"/>
          </w:tcPr>
          <w:p>
            <w:pPr>
              <w:pStyle w:val="TableContents"/>
              <w:bidi w:val="0"/>
              <w:spacing w:before="0" w:after="283"/>
              <w:jc w:val="left"/>
              <w:rPr/>
            </w:pPr>
            <w:r>
              <w:rPr/>
              <w:t>​</w:t>
            </w:r>
          </w:p>
        </w:tc>
        <w:tc>
          <w:tcPr>
            <w:tcW w:w="1546" w:type="dxa"/>
            <w:vMerge w:val="restart"/>
            <w:tcBorders/>
            <w:shd w:fill="000000" w:val="clear"/>
            <w:vAlign w:val="center"/>
          </w:tcPr>
          <w:p>
            <w:pPr>
              <w:pStyle w:val="TableContents"/>
              <w:bidi w:val="0"/>
              <w:spacing w:lineRule="atLeast" w:line="180" w:before="0" w:after="0"/>
              <w:jc w:val="left"/>
              <w:rPr/>
            </w:pPr>
            <w:r>
              <w:rPr/>
              <w:t xml:space="preserve">Name </w:t>
            </w:r>
          </w:p>
        </w:tc>
        <w:tc>
          <w:tcPr>
            <w:tcW w:w="109" w:type="dxa"/>
            <w:vMerge w:val="restart"/>
            <w:tcBorders/>
            <w:shd w:fill="000000" w:val="clear"/>
            <w:vAlign w:val="center"/>
          </w:tcPr>
          <w:p>
            <w:pPr>
              <w:pStyle w:val="TableContents"/>
              <w:bidi w:val="0"/>
              <w:spacing w:before="0" w:after="283"/>
              <w:jc w:val="left"/>
              <w:rPr/>
            </w:pPr>
            <w:r>
              <w:rPr/>
              <w:t>​</w:t>
            </w:r>
          </w:p>
        </w:tc>
        <w:tc>
          <w:tcPr>
            <w:tcW w:w="109" w:type="dxa"/>
            <w:vMerge w:val="restart"/>
            <w:tcBorders/>
            <w:shd w:fill="000000" w:val="clear"/>
            <w:vAlign w:val="center"/>
          </w:tcPr>
          <w:p>
            <w:pPr>
              <w:pStyle w:val="TableContents"/>
              <w:bidi w:val="0"/>
              <w:spacing w:before="0" w:after="283"/>
              <w:jc w:val="left"/>
              <w:rPr/>
            </w:pPr>
            <w:r>
              <w:rPr/>
              <w:t>​</w:t>
            </w:r>
          </w:p>
        </w:tc>
        <w:tc>
          <w:tcPr>
            <w:tcW w:w="1370" w:type="dxa"/>
            <w:vMerge w:val="restart"/>
            <w:tcBorders/>
            <w:shd w:fill="000000" w:val="clear"/>
            <w:vAlign w:val="center"/>
          </w:tcPr>
          <w:p>
            <w:pPr>
              <w:pStyle w:val="TableContents"/>
              <w:bidi w:val="0"/>
              <w:spacing w:lineRule="atLeast" w:line="180" w:before="0" w:after="0"/>
              <w:jc w:val="left"/>
              <w:rPr/>
            </w:pPr>
            <w:r>
              <w:rPr/>
              <w:t xml:space="preserve">Occupation </w:t>
            </w:r>
          </w:p>
        </w:tc>
        <w:tc>
          <w:tcPr>
            <w:tcW w:w="109" w:type="dxa"/>
            <w:vMerge w:val="restart"/>
            <w:tcBorders/>
            <w:shd w:fill="000000" w:val="clear"/>
            <w:vAlign w:val="center"/>
          </w:tcPr>
          <w:p>
            <w:pPr>
              <w:pStyle w:val="TableContents"/>
              <w:bidi w:val="0"/>
              <w:spacing w:before="0" w:after="283"/>
              <w:jc w:val="left"/>
              <w:rPr/>
            </w:pPr>
            <w:r>
              <w:rPr/>
              <w:t>​</w:t>
            </w:r>
          </w:p>
        </w:tc>
        <w:tc>
          <w:tcPr>
            <w:tcW w:w="109" w:type="dxa"/>
            <w:vMerge w:val="restart"/>
            <w:tcBorders/>
            <w:shd w:fill="000000" w:val="clear"/>
            <w:vAlign w:val="center"/>
          </w:tcPr>
          <w:p>
            <w:pPr>
              <w:pStyle w:val="TableContents"/>
              <w:bidi w:val="0"/>
              <w:spacing w:before="0" w:after="283"/>
              <w:jc w:val="left"/>
              <w:rPr/>
            </w:pPr>
            <w:r>
              <w:rPr/>
              <w:t>​</w:t>
            </w:r>
          </w:p>
        </w:tc>
        <w:tc>
          <w:tcPr>
            <w:tcW w:w="657" w:type="dxa"/>
            <w:vMerge w:val="restart"/>
            <w:tcBorders/>
            <w:shd w:fill="000000" w:val="clear"/>
            <w:vAlign w:val="center"/>
          </w:tcPr>
          <w:p>
            <w:pPr>
              <w:pStyle w:val="TableContents"/>
              <w:bidi w:val="0"/>
              <w:spacing w:lineRule="atLeast" w:line="180" w:before="0" w:after="0"/>
              <w:jc w:val="left"/>
              <w:rPr/>
            </w:pPr>
            <w:r>
              <w:rPr/>
              <w:t xml:space="preserve">Class </w:t>
            </w:r>
          </w:p>
        </w:tc>
        <w:tc>
          <w:tcPr>
            <w:tcW w:w="109" w:type="dxa"/>
            <w:vMerge w:val="restart"/>
            <w:tcBorders/>
            <w:shd w:fill="000000" w:val="clear"/>
            <w:vAlign w:val="center"/>
          </w:tcPr>
          <w:p>
            <w:pPr>
              <w:pStyle w:val="TableContents"/>
              <w:bidi w:val="0"/>
              <w:spacing w:before="0" w:after="283"/>
              <w:jc w:val="left"/>
              <w:rPr/>
            </w:pPr>
            <w:r>
              <w:rPr/>
              <w:t>​</w:t>
            </w:r>
          </w:p>
        </w:tc>
        <w:tc>
          <w:tcPr>
            <w:tcW w:w="109" w:type="dxa"/>
            <w:vMerge w:val="restart"/>
            <w:tcBorders/>
            <w:shd w:fill="000000" w:val="clear"/>
            <w:vAlign w:val="center"/>
          </w:tcPr>
          <w:p>
            <w:pPr>
              <w:pStyle w:val="TableContents"/>
              <w:bidi w:val="0"/>
              <w:spacing w:before="0" w:after="283"/>
              <w:jc w:val="left"/>
              <w:rPr/>
            </w:pPr>
            <w:r>
              <w:rPr/>
              <w:t>​</w:t>
            </w:r>
          </w:p>
        </w:tc>
        <w:tc>
          <w:tcPr>
            <w:tcW w:w="511" w:type="dxa"/>
            <w:vMerge w:val="restart"/>
            <w:tcBorders/>
            <w:shd w:fill="000000" w:val="clear"/>
            <w:vAlign w:val="center"/>
          </w:tcPr>
          <w:p>
            <w:pPr>
              <w:pStyle w:val="TableContents"/>
              <w:bidi w:val="0"/>
              <w:spacing w:lineRule="atLeast" w:line="180" w:before="0" w:after="0"/>
              <w:jc w:val="left"/>
              <w:rPr/>
            </w:pPr>
            <w:r>
              <w:rPr/>
              <w:t xml:space="preserve">Age </w:t>
            </w:r>
          </w:p>
        </w:tc>
        <w:tc>
          <w:tcPr>
            <w:tcW w:w="109" w:type="dxa"/>
            <w:vMerge w:val="restart"/>
            <w:tcBorders/>
            <w:shd w:fill="000000" w:val="clear"/>
            <w:vAlign w:val="center"/>
          </w:tcPr>
          <w:p>
            <w:pPr>
              <w:pStyle w:val="TableContents"/>
              <w:bidi w:val="0"/>
              <w:spacing w:before="0" w:after="283"/>
              <w:jc w:val="left"/>
              <w:rPr/>
            </w:pPr>
            <w:r>
              <w:rPr/>
              <w:t>​</w:t>
            </w:r>
          </w:p>
        </w:tc>
        <w:tc>
          <w:tcPr>
            <w:tcW w:w="109" w:type="dxa"/>
            <w:vMerge w:val="restart"/>
            <w:tcBorders/>
            <w:shd w:fill="000000" w:val="clear"/>
            <w:vAlign w:val="center"/>
          </w:tcPr>
          <w:p>
            <w:pPr>
              <w:pStyle w:val="TableContents"/>
              <w:bidi w:val="0"/>
              <w:spacing w:before="0" w:after="283"/>
              <w:jc w:val="left"/>
              <w:rPr/>
            </w:pPr>
            <w:r>
              <w:rPr/>
              <w:t>​</w:t>
            </w:r>
          </w:p>
        </w:tc>
        <w:tc>
          <w:tcPr>
            <w:tcW w:w="886" w:type="dxa"/>
            <w:vMerge w:val="restart"/>
            <w:tcBorders/>
            <w:shd w:fill="000000" w:val="clear"/>
            <w:vAlign w:val="center"/>
          </w:tcPr>
          <w:p>
            <w:pPr>
              <w:pStyle w:val="TableContents"/>
              <w:bidi w:val="0"/>
              <w:spacing w:lineRule="atLeast" w:line="180" w:before="0" w:after="0"/>
              <w:jc w:val="left"/>
              <w:rPr/>
            </w:pPr>
            <w:r>
              <w:rPr/>
              <w:t>Director</w:t>
              <w:br/>
              <w:t xml:space="preserve">Since </w:t>
            </w:r>
          </w:p>
        </w:tc>
        <w:tc>
          <w:tcPr>
            <w:tcW w:w="109" w:type="dxa"/>
            <w:vMerge w:val="restart"/>
            <w:tcBorders/>
            <w:shd w:fill="000000" w:val="clear"/>
            <w:vAlign w:val="center"/>
          </w:tcPr>
          <w:p>
            <w:pPr>
              <w:pStyle w:val="TableContents"/>
              <w:bidi w:val="0"/>
              <w:spacing w:before="0" w:after="283"/>
              <w:jc w:val="left"/>
              <w:rPr/>
            </w:pPr>
            <w:r>
              <w:rPr/>
              <w:t>​</w:t>
            </w:r>
          </w:p>
        </w:tc>
        <w:tc>
          <w:tcPr>
            <w:tcW w:w="109" w:type="dxa"/>
            <w:vMerge w:val="restart"/>
            <w:tcBorders/>
            <w:shd w:fill="000000" w:val="clear"/>
            <w:vAlign w:val="center"/>
          </w:tcPr>
          <w:p>
            <w:pPr>
              <w:pStyle w:val="TableContents"/>
              <w:bidi w:val="0"/>
              <w:spacing w:before="0" w:after="283"/>
              <w:jc w:val="left"/>
              <w:rPr/>
            </w:pPr>
            <w:r>
              <w:rPr/>
              <w:t>​</w:t>
            </w:r>
          </w:p>
        </w:tc>
        <w:tc>
          <w:tcPr>
            <w:tcW w:w="1276" w:type="dxa"/>
            <w:vMerge w:val="restart"/>
            <w:tcBorders/>
            <w:shd w:fill="000000" w:val="clear"/>
            <w:vAlign w:val="center"/>
          </w:tcPr>
          <w:p>
            <w:pPr>
              <w:pStyle w:val="TableContents"/>
              <w:bidi w:val="0"/>
              <w:spacing w:lineRule="atLeast" w:line="180" w:before="0" w:after="0"/>
              <w:jc w:val="left"/>
              <w:rPr/>
            </w:pPr>
            <w:r>
              <w:rPr/>
              <w:t xml:space="preserve">Independent </w:t>
            </w:r>
          </w:p>
        </w:tc>
        <w:tc>
          <w:tcPr>
            <w:tcW w:w="109" w:type="dxa"/>
            <w:vMerge w:val="restart"/>
            <w:tcBorders/>
            <w:shd w:fill="000000" w:val="clear"/>
            <w:vAlign w:val="center"/>
          </w:tcPr>
          <w:p>
            <w:pPr>
              <w:pStyle w:val="TableContents"/>
              <w:bidi w:val="0"/>
              <w:spacing w:before="0" w:after="283"/>
              <w:jc w:val="left"/>
              <w:rPr/>
            </w:pPr>
            <w:r>
              <w:rPr/>
              <w:t>​</w:t>
            </w:r>
          </w:p>
        </w:tc>
        <w:tc>
          <w:tcPr>
            <w:tcW w:w="109" w:type="dxa"/>
            <w:vMerge w:val="restart"/>
            <w:tcBorders/>
            <w:shd w:fill="000000" w:val="clear"/>
            <w:vAlign w:val="center"/>
          </w:tcPr>
          <w:p>
            <w:pPr>
              <w:pStyle w:val="TableContents"/>
              <w:bidi w:val="0"/>
              <w:spacing w:before="0" w:after="283"/>
              <w:jc w:val="left"/>
              <w:rPr/>
            </w:pPr>
            <w:r>
              <w:rPr/>
              <w:t>​</w:t>
            </w:r>
          </w:p>
        </w:tc>
        <w:tc>
          <w:tcPr>
            <w:tcW w:w="811" w:type="dxa"/>
            <w:vMerge w:val="restart"/>
            <w:tcBorders/>
            <w:shd w:fill="000000" w:val="clear"/>
            <w:vAlign w:val="center"/>
          </w:tcPr>
          <w:p>
            <w:pPr>
              <w:pStyle w:val="TableContents"/>
              <w:bidi w:val="0"/>
              <w:spacing w:lineRule="atLeast" w:line="180" w:before="0" w:after="0"/>
              <w:jc w:val="left"/>
              <w:rPr/>
            </w:pPr>
            <w:r>
              <w:rPr/>
              <w:t xml:space="preserve">Gender </w:t>
            </w:r>
          </w:p>
        </w:tc>
        <w:tc>
          <w:tcPr>
            <w:tcW w:w="109" w:type="dxa"/>
            <w:vMerge w:val="restart"/>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2134" w:type="dxa"/>
            <w:gridSpan w:val="7"/>
            <w:tcBorders>
              <w:bottom w:val="single" w:sz="2" w:space="0" w:color="FFFFFF"/>
            </w:tcBorders>
            <w:shd w:fill="000000" w:val="clear"/>
            <w:tcMar>
              <w:bottom w:w="110" w:type="dxa"/>
            </w:tcMar>
            <w:vAlign w:val="center"/>
          </w:tcPr>
          <w:p>
            <w:pPr>
              <w:pStyle w:val="TableContents"/>
              <w:bidi w:val="0"/>
              <w:spacing w:before="0" w:after="0"/>
              <w:jc w:val="center"/>
              <w:rPr/>
            </w:pPr>
            <w:r>
              <w:rPr/>
              <w:t xml:space="preserve">Committees </w:t>
            </w:r>
          </w:p>
        </w:tc>
        <w:tc>
          <w:tcPr>
            <w:tcW w:w="154"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r>
      <w:tr>
        <w:trPr/>
        <w:tc>
          <w:tcPr>
            <w:tcW w:w="124" w:type="dxa"/>
            <w:vMerge w:val="continue"/>
            <w:tcBorders/>
            <w:shd w:fill="000000" w:val="clear"/>
            <w:vAlign w:val="center"/>
          </w:tcPr>
          <w:p>
            <w:pPr>
              <w:pStyle w:val="Normal"/>
              <w:bidi w:val="0"/>
              <w:jc w:val="left"/>
              <w:rPr/>
            </w:pPr>
            <w:r>
              <w:rPr/>
            </w:r>
          </w:p>
        </w:tc>
        <w:tc>
          <w:tcPr>
            <w:tcW w:w="1546"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370"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657"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511"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886"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276"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811"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09" w:type="dxa"/>
            <w:tcBorders/>
            <w:shd w:fill="000000" w:val="clear"/>
            <w:vAlign w:val="center"/>
          </w:tcPr>
          <w:p>
            <w:pPr>
              <w:pStyle w:val="TableContents"/>
              <w:bidi w:val="0"/>
              <w:spacing w:before="0" w:after="283"/>
              <w:jc w:val="left"/>
              <w:rPr/>
            </w:pPr>
            <w:r>
              <w:rPr/>
              <w:t>​</w:t>
            </w:r>
          </w:p>
        </w:tc>
        <w:tc>
          <w:tcPr>
            <w:tcW w:w="451" w:type="dxa"/>
            <w:tcBorders/>
            <w:shd w:fill="000000" w:val="clear"/>
            <w:vAlign w:val="center"/>
          </w:tcPr>
          <w:p>
            <w:pPr>
              <w:pStyle w:val="TableContents"/>
              <w:bidi w:val="0"/>
              <w:spacing w:before="0" w:after="0"/>
              <w:jc w:val="left"/>
              <w:rPr/>
            </w:pPr>
            <w:r>
              <w:rPr/>
              <w:t xml:space="preserve">AR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631" w:type="dxa"/>
            <w:tcBorders/>
            <w:shd w:fill="000000" w:val="clear"/>
            <w:vAlign w:val="center"/>
          </w:tcPr>
          <w:p>
            <w:pPr>
              <w:pStyle w:val="TableContents"/>
              <w:bidi w:val="0"/>
              <w:spacing w:before="0" w:after="0"/>
              <w:jc w:val="left"/>
              <w:rPr/>
            </w:pPr>
            <w:r>
              <w:rPr/>
              <w:t xml:space="preserve">NCG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616" w:type="dxa"/>
            <w:tcBorders/>
            <w:shd w:fill="000000" w:val="clear"/>
            <w:vAlign w:val="center"/>
          </w:tcPr>
          <w:p>
            <w:pPr>
              <w:pStyle w:val="TableContents"/>
              <w:bidi w:val="0"/>
              <w:spacing w:before="0" w:after="0"/>
              <w:jc w:val="left"/>
              <w:rPr/>
            </w:pPr>
            <w:r>
              <w:rPr/>
              <w:t xml:space="preserve">CHC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46" w:type="dxa"/>
            <w:tcBorders>
              <w:bottom w:val="single" w:sz="2" w:space="0" w:color="666666"/>
            </w:tcBorders>
            <w:tcMar>
              <w:bottom w:w="60" w:type="dxa"/>
            </w:tcMar>
            <w:vAlign w:val="center"/>
          </w:tcPr>
          <w:p>
            <w:pPr>
              <w:pStyle w:val="TableContents"/>
              <w:bidi w:val="0"/>
              <w:spacing w:before="0" w:after="0"/>
              <w:jc w:val="left"/>
              <w:rPr>
                <w:rFonts w:ascii="Tahoma;Geneva;sans-serif" w:hAnsi="Tahoma;Geneva;sans-serif"/>
                <w:b/>
                <w:sz w:val="24"/>
              </w:rPr>
            </w:pPr>
            <w:r>
              <w:rPr>
                <w:rFonts w:ascii="Tahoma;Geneva;sans-serif" w:hAnsi="Tahoma;Geneva;sans-serif"/>
                <w:b/>
                <w:sz w:val="24"/>
              </w:rPr>
              <w:t xml:space="preserve">JAMES R. </w:t>
              <w:br/>
              <w:t>ANDERSON</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70"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President and CEO, Coherent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57" w:type="dxa"/>
            <w:tcBorders>
              <w:bottom w:val="single" w:sz="2" w:space="0" w:color="666666"/>
            </w:tcBorders>
            <w:tcMar>
              <w:bottom w:w="28" w:type="dxa"/>
            </w:tcMar>
            <w:vAlign w:val="center"/>
          </w:tcPr>
          <w:p>
            <w:pPr>
              <w:pStyle w:val="TableContents"/>
              <w:bidi w:val="0"/>
              <w:spacing w:before="0" w:after="283"/>
              <w:jc w:val="left"/>
              <w:rPr>
                <w:spacing w:val="-1"/>
              </w:rPr>
            </w:pPr>
            <w:r>
              <w:rPr>
                <w:spacing w:val="-1"/>
              </w:rPr>
              <w:t xml:space="preserve">One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11" w:type="dxa"/>
            <w:tcBorders>
              <w:bottom w:val="single" w:sz="2" w:space="0" w:color="666666"/>
            </w:tcBorders>
            <w:tcMar>
              <w:bottom w:w="28" w:type="dxa"/>
            </w:tcMar>
            <w:vAlign w:val="center"/>
          </w:tcPr>
          <w:p>
            <w:pPr>
              <w:pStyle w:val="TableContents"/>
              <w:bidi w:val="0"/>
              <w:spacing w:before="0" w:after="283"/>
              <w:jc w:val="left"/>
              <w:rPr>
                <w:spacing w:val="-1"/>
              </w:rPr>
            </w:pPr>
            <w:r>
              <w:rPr>
                <w:spacing w:val="-1"/>
              </w:rPr>
              <w:t xml:space="preserve">54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6" w:type="dxa"/>
            <w:tcBorders>
              <w:bottom w:val="single" w:sz="2" w:space="0" w:color="666666"/>
            </w:tcBorders>
            <w:tcMar>
              <w:bottom w:w="28" w:type="dxa"/>
            </w:tcMar>
            <w:vAlign w:val="center"/>
          </w:tcPr>
          <w:p>
            <w:pPr>
              <w:pStyle w:val="TableContents"/>
              <w:bidi w:val="0"/>
              <w:spacing w:before="0" w:after="283"/>
              <w:jc w:val="left"/>
              <w:rPr>
                <w:spacing w:val="-1"/>
              </w:rPr>
            </w:pPr>
            <w:r>
              <w:rPr>
                <w:spacing w:val="-1"/>
              </w:rPr>
              <w:t xml:space="preserve">2024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76"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11" w:type="dxa"/>
            <w:tcBorders>
              <w:bottom w:val="single" w:sz="2" w:space="0" w:color="666666"/>
            </w:tcBorders>
            <w:tcMar>
              <w:bottom w:w="28" w:type="dxa"/>
            </w:tcMar>
            <w:vAlign w:val="center"/>
          </w:tcPr>
          <w:p>
            <w:pPr>
              <w:pStyle w:val="TableContents"/>
              <w:bidi w:val="0"/>
              <w:spacing w:before="0" w:after="283"/>
              <w:jc w:val="left"/>
              <w:rPr>
                <w:spacing w:val="-1"/>
              </w:rPr>
            </w:pPr>
            <w:r>
              <w:rPr>
                <w:spacing w:val="-1"/>
              </w:rPr>
              <w:t xml:space="preserve">M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451"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31"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16" w:type="dxa"/>
            <w:tcBorders>
              <w:bottom w:val="single" w:sz="2" w:space="0" w:color="666666"/>
            </w:tcBorders>
            <w:tcMar>
              <w:bottom w:w="28" w:type="dxa"/>
            </w:tcMar>
            <w:vAlign w:val="center"/>
          </w:tcPr>
          <w:p>
            <w:pPr>
              <w:pStyle w:val="TableContents"/>
              <w:bidi w:val="0"/>
              <w:spacing w:before="0" w:after="283"/>
              <w:jc w:val="left"/>
              <w:rPr/>
            </w:pPr>
            <w:r>
              <w:rPr/>
              <w:t>​</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46" w:type="dxa"/>
            <w:tcBorders>
              <w:bottom w:val="single" w:sz="2" w:space="0" w:color="666666"/>
            </w:tcBorders>
            <w:tcMar>
              <w:bottom w:w="60" w:type="dxa"/>
            </w:tcMar>
            <w:vAlign w:val="center"/>
          </w:tcPr>
          <w:p>
            <w:pPr>
              <w:pStyle w:val="TableContents"/>
              <w:bidi w:val="0"/>
              <w:spacing w:lineRule="atLeast" w:line="280" w:before="0" w:after="0"/>
              <w:jc w:val="left"/>
              <w:rPr>
                <w:rFonts w:ascii="Tahoma;Geneva;sans-serif" w:hAnsi="Tahoma;Geneva;sans-serif"/>
                <w:b/>
                <w:sz w:val="24"/>
              </w:rPr>
            </w:pPr>
            <w:r>
              <w:rPr>
                <w:rFonts w:ascii="Tahoma;Geneva;sans-serif" w:hAnsi="Tahoma;Geneva;sans-serif"/>
                <w:b/>
                <w:sz w:val="24"/>
              </w:rPr>
              <w:t xml:space="preserve">JOSEPH J. </w:t>
              <w:br/>
              <w:t>CORASANTI</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70"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Former President and CEO, CONMED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57"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Three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11"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62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6"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2002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76" w:type="dxa"/>
            <w:tcBorders>
              <w:bottom w:val="single" w:sz="2" w:space="0" w:color="666666"/>
            </w:tcBorders>
            <w:tcMar>
              <w:bottom w:w="28" w:type="dxa"/>
            </w:tcMar>
            <w:vAlign w:val="center"/>
          </w:tcPr>
          <w:p>
            <w:pPr>
              <w:pStyle w:val="TableContents"/>
              <w:bidi w:val="0"/>
              <w:spacing w:before="0" w:after="0"/>
              <w:jc w:val="left"/>
              <w:rPr/>
            </w:pPr>
            <w:r>
              <w:rPr/>
              <w:drawing>
                <wp:inline distT="0" distB="0" distL="0" distR="0">
                  <wp:extent cx="142875" cy="142875"/>
                  <wp:effectExtent l="0" t="0" r="0" b="0"/>
                  <wp:docPr id="5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5" descr=""/>
                          <pic:cNvPicPr>
                            <a:picLocks noChangeAspect="1" noChangeArrowheads="1"/>
                          </pic:cNvPicPr>
                        </pic:nvPicPr>
                        <pic:blipFill>
                          <a:blip r:embed="rId25"/>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11"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M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451" w:type="dxa"/>
            <w:tcBorders>
              <w:bottom w:val="single" w:sz="2" w:space="0" w:color="666666"/>
            </w:tcBorders>
            <w:tcMar>
              <w:bottom w:w="28" w:type="dxa"/>
            </w:tcMar>
            <w:vAlign w:val="center"/>
          </w:tcPr>
          <w:p>
            <w:pPr>
              <w:pStyle w:val="TableContents"/>
              <w:bidi w:val="0"/>
              <w:spacing w:before="0" w:after="283"/>
              <w:jc w:val="left"/>
              <w:rPr/>
            </w:pPr>
            <w:r>
              <w:rPr/>
              <w:drawing>
                <wp:inline distT="0" distB="0" distL="0" distR="0">
                  <wp:extent cx="142875" cy="142875"/>
                  <wp:effectExtent l="0" t="0" r="0" b="0"/>
                  <wp:docPr id="5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6" descr=""/>
                          <pic:cNvPicPr>
                            <a:picLocks noChangeAspect="1" noChangeArrowheads="1"/>
                          </pic:cNvPicPr>
                        </pic:nvPicPr>
                        <pic:blipFill>
                          <a:blip r:embed="rId26"/>
                          <a:stretch>
                            <a:fillRect/>
                          </a:stretch>
                        </pic:blipFill>
                        <pic:spPr bwMode="auto">
                          <a:xfrm>
                            <a:off x="0" y="0"/>
                            <a:ext cx="142875" cy="142875"/>
                          </a:xfrm>
                          <a:prstGeom prst="rect">
                            <a:avLst/>
                          </a:prstGeom>
                        </pic:spPr>
                      </pic:pic>
                    </a:graphicData>
                  </a:graphic>
                </wp:inline>
              </w:drawing>
            </w:r>
            <w:r>
              <w:rPr>
                <w:spacing w:val="-1"/>
              </w:rPr>
              <w:t> </w:t>
            </w:r>
            <w:r>
              <w:rPr/>
              <w:drawing>
                <wp:inline distT="0" distB="0" distL="0" distR="0">
                  <wp:extent cx="142875" cy="142875"/>
                  <wp:effectExtent l="0" t="0" r="0" b="0"/>
                  <wp:docPr id="5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7" descr=""/>
                          <pic:cNvPicPr>
                            <a:picLocks noChangeAspect="1" noChangeArrowheads="1"/>
                          </pic:cNvPicPr>
                        </pic:nvPicPr>
                        <pic:blipFill>
                          <a:blip r:embed="rId27"/>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31" w:type="dxa"/>
            <w:tcBorders>
              <w:bottom w:val="single" w:sz="2" w:space="0" w:color="666666"/>
            </w:tcBorders>
            <w:tcMar>
              <w:bottom w:w="28" w:type="dxa"/>
            </w:tcMar>
            <w:vAlign w:val="center"/>
          </w:tcPr>
          <w:p>
            <w:pPr>
              <w:pStyle w:val="TableContents"/>
              <w:bidi w:val="0"/>
              <w:spacing w:lineRule="atLeast" w:line="260" w:before="0" w:after="0"/>
              <w:jc w:val="left"/>
              <w:rPr>
                <w:rFonts w:ascii="Tahoma;Geneva;sans-serif" w:hAnsi="Tahoma;Geneva;sans-serif"/>
                <w:b/>
                <w:color w:val="0068C7"/>
                <w:sz w:val="22"/>
              </w:rPr>
            </w:pPr>
            <w:r>
              <w:rPr>
                <w:rFonts w:ascii="Tahoma;Geneva;sans-serif" w:hAnsi="Tahoma;Geneva;sans-serif"/>
                <w:b/>
                <w:color w:val="0068C7"/>
                <w:sz w:val="22"/>
              </w:rPr>
              <w:t>C</w:t>
            </w:r>
            <w:r>
              <w:rPr>
                <w:rFonts w:ascii="Tahoma;Geneva;sans-serif" w:hAnsi="Tahoma;Geneva;sans-serif"/>
                <w:b/>
                <w:color w:val="000000"/>
                <w:sz w:val="22"/>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16" w:type="dxa"/>
            <w:tcBorders>
              <w:bottom w:val="single" w:sz="2" w:space="0" w:color="666666"/>
            </w:tcBorders>
            <w:tcMar>
              <w:bottom w:w="28" w:type="dxa"/>
            </w:tcMar>
            <w:vAlign w:val="center"/>
          </w:tcPr>
          <w:p>
            <w:pPr>
              <w:pStyle w:val="TableContents"/>
              <w:bidi w:val="0"/>
              <w:spacing w:before="0" w:after="283"/>
              <w:jc w:val="left"/>
              <w:rPr/>
            </w:pPr>
            <w:r>
              <w:rPr/>
              <w:t>​</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46" w:type="dxa"/>
            <w:tcBorders>
              <w:bottom w:val="single" w:sz="2" w:space="0" w:color="666666"/>
            </w:tcBorders>
            <w:tcMar>
              <w:bottom w:w="60" w:type="dxa"/>
            </w:tcMar>
            <w:vAlign w:val="center"/>
          </w:tcPr>
          <w:p>
            <w:pPr>
              <w:pStyle w:val="TableContents"/>
              <w:bidi w:val="0"/>
              <w:spacing w:lineRule="atLeast" w:line="280" w:before="0" w:after="0"/>
              <w:jc w:val="left"/>
              <w:rPr>
                <w:rFonts w:ascii="Tahoma;Geneva;sans-serif" w:hAnsi="Tahoma;Geneva;sans-serif"/>
                <w:b/>
                <w:sz w:val="24"/>
              </w:rPr>
            </w:pPr>
            <w:r>
              <w:rPr>
                <w:rFonts w:ascii="Tahoma;Geneva;sans-serif" w:hAnsi="Tahoma;Geneva;sans-serif"/>
                <w:b/>
                <w:sz w:val="24"/>
              </w:rPr>
              <w:t xml:space="preserve">ENRICO </w:t>
              <w:br/>
              <w:t>DIGIROLAMO</w:t>
            </w:r>
          </w:p>
          <w:p>
            <w:pPr>
              <w:pStyle w:val="TableContents"/>
              <w:bidi w:val="0"/>
              <w:spacing w:lineRule="atLeast" w:line="210" w:before="40" w:after="283"/>
              <w:jc w:val="left"/>
              <w:rPr/>
            </w:pPr>
            <w:r>
              <w:rPr>
                <w:spacing w:val="-1"/>
              </w:rPr>
              <w:t>Board Chair</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70"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Former CFO and SVP, Covisint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57"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Two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11"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71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6"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2018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76" w:type="dxa"/>
            <w:tcBorders>
              <w:bottom w:val="single" w:sz="2" w:space="0" w:color="666666"/>
            </w:tcBorders>
            <w:tcMar>
              <w:bottom w:w="28" w:type="dxa"/>
            </w:tcMar>
            <w:vAlign w:val="center"/>
          </w:tcPr>
          <w:p>
            <w:pPr>
              <w:pStyle w:val="TableContents"/>
              <w:bidi w:val="0"/>
              <w:spacing w:before="0" w:after="0"/>
              <w:jc w:val="left"/>
              <w:rPr/>
            </w:pPr>
            <w:r>
              <w:rPr/>
              <w:drawing>
                <wp:inline distT="0" distB="0" distL="0" distR="0">
                  <wp:extent cx="142875" cy="142875"/>
                  <wp:effectExtent l="0" t="0" r="0" b="0"/>
                  <wp:docPr id="5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8" descr=""/>
                          <pic:cNvPicPr>
                            <a:picLocks noChangeAspect="1" noChangeArrowheads="1"/>
                          </pic:cNvPicPr>
                        </pic:nvPicPr>
                        <pic:blipFill>
                          <a:blip r:embed="rId28"/>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11"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M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451" w:type="dxa"/>
            <w:tcBorders>
              <w:bottom w:val="single" w:sz="2" w:space="0" w:color="666666"/>
            </w:tcBorders>
            <w:tcMar>
              <w:bottom w:w="28" w:type="dxa"/>
            </w:tcMar>
            <w:vAlign w:val="center"/>
          </w:tcPr>
          <w:p>
            <w:pPr>
              <w:pStyle w:val="TableContents"/>
              <w:bidi w:val="0"/>
              <w:spacing w:before="0" w:after="283"/>
              <w:jc w:val="left"/>
              <w:rPr/>
            </w:pPr>
            <w:r>
              <w:rPr/>
              <w:drawing>
                <wp:inline distT="0" distB="0" distL="0" distR="0">
                  <wp:extent cx="142875" cy="142875"/>
                  <wp:effectExtent l="0" t="0" r="0" b="0"/>
                  <wp:docPr id="5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9" descr=""/>
                          <pic:cNvPicPr>
                            <a:picLocks noChangeAspect="1" noChangeArrowheads="1"/>
                          </pic:cNvPicPr>
                        </pic:nvPicPr>
                        <pic:blipFill>
                          <a:blip r:embed="rId29"/>
                          <a:stretch>
                            <a:fillRect/>
                          </a:stretch>
                        </pic:blipFill>
                        <pic:spPr bwMode="auto">
                          <a:xfrm>
                            <a:off x="0" y="0"/>
                            <a:ext cx="142875" cy="142875"/>
                          </a:xfrm>
                          <a:prstGeom prst="rect">
                            <a:avLst/>
                          </a:prstGeom>
                        </pic:spPr>
                      </pic:pic>
                    </a:graphicData>
                  </a:graphic>
                </wp:inline>
              </w:drawing>
            </w:r>
            <w:r>
              <w:rPr>
                <w:spacing w:val="-1"/>
              </w:rPr>
              <w:t> </w:t>
            </w:r>
            <w:r>
              <w:rPr/>
              <w:drawing>
                <wp:inline distT="0" distB="0" distL="0" distR="0">
                  <wp:extent cx="142875" cy="142875"/>
                  <wp:effectExtent l="0" t="0" r="0" b="0"/>
                  <wp:docPr id="5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0" descr=""/>
                          <pic:cNvPicPr>
                            <a:picLocks noChangeAspect="1" noChangeArrowheads="1"/>
                          </pic:cNvPicPr>
                        </pic:nvPicPr>
                        <pic:blipFill>
                          <a:blip r:embed="rId30"/>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31"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16" w:type="dxa"/>
            <w:tcBorders>
              <w:bottom w:val="single" w:sz="2" w:space="0" w:color="666666"/>
            </w:tcBorders>
            <w:tcMar>
              <w:bottom w:w="28" w:type="dxa"/>
            </w:tcMar>
            <w:vAlign w:val="center"/>
          </w:tcPr>
          <w:p>
            <w:pPr>
              <w:pStyle w:val="TableContents"/>
              <w:bidi w:val="0"/>
              <w:spacing w:before="0" w:after="283"/>
              <w:jc w:val="left"/>
              <w:rPr/>
            </w:pPr>
            <w:r>
              <w:rPr/>
              <w:t>​</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46" w:type="dxa"/>
            <w:tcBorders>
              <w:bottom w:val="single" w:sz="2" w:space="0" w:color="666666"/>
            </w:tcBorders>
            <w:tcMar>
              <w:bottom w:w="60" w:type="dxa"/>
            </w:tcMar>
            <w:vAlign w:val="center"/>
          </w:tcPr>
          <w:p>
            <w:pPr>
              <w:pStyle w:val="TableContents"/>
              <w:bidi w:val="0"/>
              <w:spacing w:lineRule="atLeast" w:line="280" w:before="0" w:after="0"/>
              <w:jc w:val="left"/>
              <w:rPr>
                <w:rFonts w:ascii="Tahoma;Geneva;sans-serif" w:hAnsi="Tahoma;Geneva;sans-serif"/>
                <w:b/>
                <w:sz w:val="24"/>
              </w:rPr>
            </w:pPr>
            <w:r>
              <w:rPr>
                <w:rFonts w:ascii="Tahoma;Geneva;sans-serif" w:hAnsi="Tahoma;Geneva;sans-serif"/>
                <w:b/>
                <w:sz w:val="24"/>
              </w:rPr>
              <w:t xml:space="preserve">MICHAEL L. </w:t>
              <w:br/>
              <w:t>DREYER</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70"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Former COO, Silicon Valley Bank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57"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One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11"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62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6"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2019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76" w:type="dxa"/>
            <w:tcBorders>
              <w:bottom w:val="single" w:sz="2" w:space="0" w:color="666666"/>
            </w:tcBorders>
            <w:tcMar>
              <w:bottom w:w="28" w:type="dxa"/>
            </w:tcMar>
            <w:vAlign w:val="center"/>
          </w:tcPr>
          <w:p>
            <w:pPr>
              <w:pStyle w:val="TableContents"/>
              <w:bidi w:val="0"/>
              <w:spacing w:before="0" w:after="0"/>
              <w:jc w:val="left"/>
              <w:rPr/>
            </w:pPr>
            <w:r>
              <w:rPr/>
              <w:drawing>
                <wp:inline distT="0" distB="0" distL="0" distR="0">
                  <wp:extent cx="142875" cy="142875"/>
                  <wp:effectExtent l="0" t="0" r="0" b="0"/>
                  <wp:docPr id="5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1" descr=""/>
                          <pic:cNvPicPr>
                            <a:picLocks noChangeAspect="1" noChangeArrowheads="1"/>
                          </pic:cNvPicPr>
                        </pic:nvPicPr>
                        <pic:blipFill>
                          <a:blip r:embed="rId31"/>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11"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M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451" w:type="dxa"/>
            <w:tcBorders>
              <w:bottom w:val="single" w:sz="2" w:space="0" w:color="666666"/>
            </w:tcBorders>
            <w:tcMar>
              <w:bottom w:w="28" w:type="dxa"/>
            </w:tcMar>
            <w:vAlign w:val="center"/>
          </w:tcPr>
          <w:p>
            <w:pPr>
              <w:pStyle w:val="TableContents"/>
              <w:bidi w:val="0"/>
              <w:spacing w:before="0" w:after="0"/>
              <w:jc w:val="left"/>
              <w:rPr/>
            </w:pPr>
            <w:r>
              <w:rPr/>
              <w:drawing>
                <wp:inline distT="0" distB="0" distL="0" distR="0">
                  <wp:extent cx="142875" cy="142875"/>
                  <wp:effectExtent l="0" t="0" r="0" b="0"/>
                  <wp:docPr id="5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2" descr=""/>
                          <pic:cNvPicPr>
                            <a:picLocks noChangeAspect="1" noChangeArrowheads="1"/>
                          </pic:cNvPicPr>
                        </pic:nvPicPr>
                        <pic:blipFill>
                          <a:blip r:embed="rId32"/>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31" w:type="dxa"/>
            <w:tcBorders>
              <w:bottom w:val="single" w:sz="2" w:space="0" w:color="666666"/>
            </w:tcBorders>
            <w:tcMar>
              <w:bottom w:w="28" w:type="dxa"/>
            </w:tcMar>
            <w:vAlign w:val="center"/>
          </w:tcPr>
          <w:p>
            <w:pPr>
              <w:pStyle w:val="TableContents"/>
              <w:bidi w:val="0"/>
              <w:spacing w:before="0" w:after="0"/>
              <w:jc w:val="left"/>
              <w:rPr/>
            </w:pPr>
            <w:r>
              <w:rPr/>
              <w:drawing>
                <wp:inline distT="0" distB="0" distL="0" distR="0">
                  <wp:extent cx="142875" cy="142875"/>
                  <wp:effectExtent l="0" t="0" r="0" b="0"/>
                  <wp:docPr id="5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3" descr=""/>
                          <pic:cNvPicPr>
                            <a:picLocks noChangeAspect="1" noChangeArrowheads="1"/>
                          </pic:cNvPicPr>
                        </pic:nvPicPr>
                        <pic:blipFill>
                          <a:blip r:embed="rId33"/>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16" w:type="dxa"/>
            <w:tcBorders>
              <w:bottom w:val="single" w:sz="2" w:space="0" w:color="666666"/>
            </w:tcBorders>
            <w:tcMar>
              <w:bottom w:w="28" w:type="dxa"/>
            </w:tcMar>
            <w:vAlign w:val="center"/>
          </w:tcPr>
          <w:p>
            <w:pPr>
              <w:pStyle w:val="TableContents"/>
              <w:bidi w:val="0"/>
              <w:spacing w:before="0" w:after="283"/>
              <w:jc w:val="left"/>
              <w:rPr/>
            </w:pPr>
            <w:r>
              <w:rPr/>
              <w:t>​</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46" w:type="dxa"/>
            <w:tcBorders>
              <w:bottom w:val="single" w:sz="2" w:space="0" w:color="666666"/>
            </w:tcBorders>
            <w:tcMar>
              <w:bottom w:w="60" w:type="dxa"/>
            </w:tcMar>
            <w:vAlign w:val="center"/>
          </w:tcPr>
          <w:p>
            <w:pPr>
              <w:pStyle w:val="TableContents"/>
              <w:bidi w:val="0"/>
              <w:spacing w:lineRule="atLeast" w:line="280" w:before="0" w:after="0"/>
              <w:jc w:val="left"/>
              <w:rPr>
                <w:rFonts w:ascii="Tahoma;Geneva;sans-serif" w:hAnsi="Tahoma;Geneva;sans-serif"/>
                <w:b/>
                <w:sz w:val="24"/>
              </w:rPr>
            </w:pPr>
            <w:r>
              <w:rPr>
                <w:rFonts w:ascii="Tahoma;Geneva;sans-serif" w:hAnsi="Tahoma;Geneva;sans-serif"/>
                <w:b/>
                <w:sz w:val="24"/>
              </w:rPr>
              <w:t xml:space="preserve">PATRICIA </w:t>
              <w:br/>
              <w:t>HATTER</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70"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President and COO, Opsera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57"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Three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11"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64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6"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2019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76" w:type="dxa"/>
            <w:tcBorders>
              <w:bottom w:val="single" w:sz="2" w:space="0" w:color="666666"/>
            </w:tcBorders>
            <w:tcMar>
              <w:bottom w:w="28" w:type="dxa"/>
            </w:tcMar>
            <w:vAlign w:val="center"/>
          </w:tcPr>
          <w:p>
            <w:pPr>
              <w:pStyle w:val="TableContents"/>
              <w:bidi w:val="0"/>
              <w:spacing w:before="0" w:after="0"/>
              <w:jc w:val="left"/>
              <w:rPr/>
            </w:pPr>
            <w:r>
              <w:rPr/>
              <w:drawing>
                <wp:inline distT="0" distB="0" distL="0" distR="0">
                  <wp:extent cx="142875" cy="142875"/>
                  <wp:effectExtent l="0" t="0" r="0" b="0"/>
                  <wp:docPr id="5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4" descr=""/>
                          <pic:cNvPicPr>
                            <a:picLocks noChangeAspect="1" noChangeArrowheads="1"/>
                          </pic:cNvPicPr>
                        </pic:nvPicPr>
                        <pic:blipFill>
                          <a:blip r:embed="rId34"/>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11"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F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451"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31" w:type="dxa"/>
            <w:tcBorders>
              <w:bottom w:val="single" w:sz="2" w:space="0" w:color="666666"/>
            </w:tcBorders>
            <w:tcMar>
              <w:bottom w:w="28" w:type="dxa"/>
            </w:tcMar>
            <w:vAlign w:val="center"/>
          </w:tcPr>
          <w:p>
            <w:pPr>
              <w:pStyle w:val="TableContents"/>
              <w:bidi w:val="0"/>
              <w:spacing w:before="0" w:after="0"/>
              <w:jc w:val="left"/>
              <w:rPr/>
            </w:pPr>
            <w:r>
              <w:rPr/>
              <w:drawing>
                <wp:inline distT="0" distB="0" distL="0" distR="0">
                  <wp:extent cx="142875" cy="142875"/>
                  <wp:effectExtent l="0" t="0" r="0" b="0"/>
                  <wp:docPr id="6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5" descr=""/>
                          <pic:cNvPicPr>
                            <a:picLocks noChangeAspect="1" noChangeArrowheads="1"/>
                          </pic:cNvPicPr>
                        </pic:nvPicPr>
                        <pic:blipFill>
                          <a:blip r:embed="rId35"/>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16" w:type="dxa"/>
            <w:tcBorders>
              <w:bottom w:val="single" w:sz="2" w:space="0" w:color="666666"/>
            </w:tcBorders>
            <w:tcMar>
              <w:bottom w:w="28" w:type="dxa"/>
            </w:tcMar>
            <w:vAlign w:val="center"/>
          </w:tcPr>
          <w:p>
            <w:pPr>
              <w:pStyle w:val="TableContents"/>
              <w:bidi w:val="0"/>
              <w:spacing w:before="0" w:after="283"/>
              <w:jc w:val="left"/>
              <w:rPr/>
            </w:pPr>
            <w:r>
              <w:rPr/>
              <w:t>​</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46" w:type="dxa"/>
            <w:tcBorders>
              <w:bottom w:val="single" w:sz="2" w:space="0" w:color="666666"/>
            </w:tcBorders>
            <w:tcMar>
              <w:bottom w:w="60" w:type="dxa"/>
            </w:tcMar>
            <w:vAlign w:val="center"/>
          </w:tcPr>
          <w:p>
            <w:pPr>
              <w:pStyle w:val="TableContents"/>
              <w:bidi w:val="0"/>
              <w:spacing w:lineRule="atLeast" w:line="280" w:before="0" w:after="0"/>
              <w:jc w:val="left"/>
              <w:rPr>
                <w:rFonts w:ascii="Tahoma;Geneva;sans-serif" w:hAnsi="Tahoma;Geneva;sans-serif"/>
                <w:b/>
                <w:sz w:val="24"/>
              </w:rPr>
            </w:pPr>
            <w:r>
              <w:rPr>
                <w:rFonts w:ascii="Tahoma;Geneva;sans-serif" w:hAnsi="Tahoma;Geneva;sans-serif"/>
                <w:b/>
                <w:sz w:val="24"/>
              </w:rPr>
              <w:t xml:space="preserve">DAVID L. </w:t>
              <w:br/>
              <w:t>MOTLEY</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70"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General Partner, BTN Ventures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57"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Two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11"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67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6"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2021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76" w:type="dxa"/>
            <w:tcBorders>
              <w:bottom w:val="single" w:sz="2" w:space="0" w:color="666666"/>
            </w:tcBorders>
            <w:tcMar>
              <w:bottom w:w="28" w:type="dxa"/>
            </w:tcMar>
            <w:vAlign w:val="center"/>
          </w:tcPr>
          <w:p>
            <w:pPr>
              <w:pStyle w:val="TableContents"/>
              <w:bidi w:val="0"/>
              <w:spacing w:before="0" w:after="0"/>
              <w:jc w:val="left"/>
              <w:rPr/>
            </w:pPr>
            <w:r>
              <w:rPr/>
              <w:drawing>
                <wp:inline distT="0" distB="0" distL="0" distR="0">
                  <wp:extent cx="142875" cy="142875"/>
                  <wp:effectExtent l="0" t="0" r="0" b="0"/>
                  <wp:docPr id="6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6" descr=""/>
                          <pic:cNvPicPr>
                            <a:picLocks noChangeAspect="1" noChangeArrowheads="1"/>
                          </pic:cNvPicPr>
                        </pic:nvPicPr>
                        <pic:blipFill>
                          <a:blip r:embed="rId36"/>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11"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M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451" w:type="dxa"/>
            <w:tcBorders>
              <w:bottom w:val="single" w:sz="2" w:space="0" w:color="666666"/>
            </w:tcBorders>
            <w:tcMar>
              <w:bottom w:w="28" w:type="dxa"/>
            </w:tcMar>
            <w:vAlign w:val="center"/>
          </w:tcPr>
          <w:p>
            <w:pPr>
              <w:pStyle w:val="TableContents"/>
              <w:bidi w:val="0"/>
              <w:spacing w:before="0" w:after="0"/>
              <w:jc w:val="left"/>
              <w:rPr/>
            </w:pPr>
            <w:r>
              <w:rPr/>
              <w:drawing>
                <wp:inline distT="0" distB="0" distL="0" distR="0">
                  <wp:extent cx="142875" cy="142875"/>
                  <wp:effectExtent l="0" t="0" r="0" b="0"/>
                  <wp:docPr id="6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7" descr=""/>
                          <pic:cNvPicPr>
                            <a:picLocks noChangeAspect="1" noChangeArrowheads="1"/>
                          </pic:cNvPicPr>
                        </pic:nvPicPr>
                        <pic:blipFill>
                          <a:blip r:embed="rId37"/>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31"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16" w:type="dxa"/>
            <w:tcBorders>
              <w:bottom w:val="single" w:sz="2" w:space="0" w:color="666666"/>
            </w:tcBorders>
            <w:tcMar>
              <w:bottom w:w="28" w:type="dxa"/>
            </w:tcMar>
            <w:vAlign w:val="center"/>
          </w:tcPr>
          <w:p>
            <w:pPr>
              <w:pStyle w:val="TableContents"/>
              <w:bidi w:val="0"/>
              <w:spacing w:before="0" w:after="283"/>
              <w:jc w:val="left"/>
              <w:rPr/>
            </w:pPr>
            <w:r>
              <w:rPr/>
              <w:t>​</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46" w:type="dxa"/>
            <w:tcBorders>
              <w:bottom w:val="single" w:sz="2" w:space="0" w:color="666666"/>
            </w:tcBorders>
            <w:tcMar>
              <w:bottom w:w="60" w:type="dxa"/>
            </w:tcMar>
            <w:vAlign w:val="center"/>
          </w:tcPr>
          <w:p>
            <w:pPr>
              <w:pStyle w:val="TableContents"/>
              <w:bidi w:val="0"/>
              <w:spacing w:lineRule="atLeast" w:line="280" w:before="0" w:after="0"/>
              <w:jc w:val="left"/>
              <w:rPr>
                <w:rFonts w:ascii="Tahoma;Geneva;sans-serif" w:hAnsi="Tahoma;Geneva;sans-serif"/>
                <w:b/>
                <w:sz w:val="24"/>
              </w:rPr>
            </w:pPr>
            <w:r>
              <w:rPr>
                <w:rFonts w:ascii="Tahoma;Geneva;sans-serif" w:hAnsi="Tahoma;Geneva;sans-serif"/>
                <w:b/>
                <w:sz w:val="24"/>
              </w:rPr>
              <w:t xml:space="preserve">LISA NEAL- </w:t>
              <w:br/>
              <w:t>GRAVES</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70"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Former CEO, Aurora Wellness Community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57"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Two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11"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63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6"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2021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76" w:type="dxa"/>
            <w:tcBorders>
              <w:bottom w:val="single" w:sz="2" w:space="0" w:color="666666"/>
            </w:tcBorders>
            <w:tcMar>
              <w:bottom w:w="28" w:type="dxa"/>
            </w:tcMar>
            <w:vAlign w:val="center"/>
          </w:tcPr>
          <w:p>
            <w:pPr>
              <w:pStyle w:val="TableContents"/>
              <w:bidi w:val="0"/>
              <w:spacing w:before="0" w:after="0"/>
              <w:jc w:val="left"/>
              <w:rPr/>
            </w:pPr>
            <w:r>
              <w:rPr/>
              <w:drawing>
                <wp:inline distT="0" distB="0" distL="0" distR="0">
                  <wp:extent cx="142875" cy="142875"/>
                  <wp:effectExtent l="0" t="0" r="0" b="0"/>
                  <wp:docPr id="6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8" descr=""/>
                          <pic:cNvPicPr>
                            <a:picLocks noChangeAspect="1" noChangeArrowheads="1"/>
                          </pic:cNvPicPr>
                        </pic:nvPicPr>
                        <pic:blipFill>
                          <a:blip r:embed="rId38"/>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11"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F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451"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31" w:type="dxa"/>
            <w:tcBorders>
              <w:bottom w:val="single" w:sz="2" w:space="0" w:color="666666"/>
            </w:tcBorders>
            <w:tcMar>
              <w:bottom w:w="28" w:type="dxa"/>
            </w:tcMar>
            <w:vAlign w:val="center"/>
          </w:tcPr>
          <w:p>
            <w:pPr>
              <w:pStyle w:val="TableContents"/>
              <w:bidi w:val="0"/>
              <w:spacing w:before="0" w:after="0"/>
              <w:jc w:val="left"/>
              <w:rPr/>
            </w:pPr>
            <w:r>
              <w:rPr/>
              <w:drawing>
                <wp:inline distT="0" distB="0" distL="0" distR="0">
                  <wp:extent cx="142875" cy="142875"/>
                  <wp:effectExtent l="0" t="0" r="0" b="0"/>
                  <wp:docPr id="6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9" descr=""/>
                          <pic:cNvPicPr>
                            <a:picLocks noChangeAspect="1" noChangeArrowheads="1"/>
                          </pic:cNvPicPr>
                        </pic:nvPicPr>
                        <pic:blipFill>
                          <a:blip r:embed="rId39"/>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16" w:type="dxa"/>
            <w:tcBorders>
              <w:bottom w:val="single" w:sz="2" w:space="0" w:color="666666"/>
            </w:tcBorders>
            <w:tcMar>
              <w:bottom w:w="28" w:type="dxa"/>
            </w:tcMar>
            <w:vAlign w:val="center"/>
          </w:tcPr>
          <w:p>
            <w:pPr>
              <w:pStyle w:val="TableContents"/>
              <w:bidi w:val="0"/>
              <w:spacing w:before="0" w:after="283"/>
              <w:jc w:val="left"/>
              <w:rPr/>
            </w:pPr>
            <w:r>
              <w:rPr/>
              <w:t>​</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46" w:type="dxa"/>
            <w:tcBorders>
              <w:bottom w:val="single" w:sz="2" w:space="0" w:color="666666"/>
            </w:tcBorders>
            <w:tcMar>
              <w:bottom w:w="60" w:type="dxa"/>
            </w:tcMar>
            <w:vAlign w:val="center"/>
          </w:tcPr>
          <w:p>
            <w:pPr>
              <w:pStyle w:val="TableContents"/>
              <w:bidi w:val="0"/>
              <w:spacing w:lineRule="atLeast" w:line="280" w:before="0" w:after="0"/>
              <w:jc w:val="left"/>
              <w:rPr>
                <w:rFonts w:ascii="Tahoma;Geneva;sans-serif" w:hAnsi="Tahoma;Geneva;sans-serif"/>
                <w:b/>
                <w:sz w:val="24"/>
              </w:rPr>
            </w:pPr>
            <w:r>
              <w:rPr>
                <w:rFonts w:ascii="Tahoma;Geneva;sans-serif" w:hAnsi="Tahoma;Geneva;sans-serif"/>
                <w:b/>
                <w:sz w:val="24"/>
              </w:rPr>
              <w:t xml:space="preserve">STEPHEN </w:t>
              <w:br/>
              <w:t>PAGLIUCA</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70"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Senior Advisor, Bain Capital Private Equity, LP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57"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One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11"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71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6"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2021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76" w:type="dxa"/>
            <w:tcBorders>
              <w:bottom w:val="single" w:sz="2" w:space="0" w:color="666666"/>
            </w:tcBorders>
            <w:tcMar>
              <w:bottom w:w="28" w:type="dxa"/>
            </w:tcMar>
            <w:vAlign w:val="center"/>
          </w:tcPr>
          <w:p>
            <w:pPr>
              <w:pStyle w:val="TableContents"/>
              <w:bidi w:val="0"/>
              <w:spacing w:before="0" w:after="0"/>
              <w:jc w:val="left"/>
              <w:rPr/>
            </w:pPr>
            <w:r>
              <w:rPr/>
              <w:drawing>
                <wp:inline distT="0" distB="0" distL="0" distR="0">
                  <wp:extent cx="142875" cy="142875"/>
                  <wp:effectExtent l="0" t="0" r="0" b="0"/>
                  <wp:docPr id="6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0" descr=""/>
                          <pic:cNvPicPr>
                            <a:picLocks noChangeAspect="1" noChangeArrowheads="1"/>
                          </pic:cNvPicPr>
                        </pic:nvPicPr>
                        <pic:blipFill>
                          <a:blip r:embed="rId40"/>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11"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M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451"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31"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16" w:type="dxa"/>
            <w:tcBorders>
              <w:bottom w:val="single" w:sz="2" w:space="0" w:color="666666"/>
            </w:tcBorders>
            <w:tcMar>
              <w:bottom w:w="28" w:type="dxa"/>
            </w:tcMar>
            <w:vAlign w:val="center"/>
          </w:tcPr>
          <w:p>
            <w:pPr>
              <w:pStyle w:val="TableContents"/>
              <w:bidi w:val="0"/>
              <w:spacing w:before="0" w:after="0"/>
              <w:jc w:val="left"/>
              <w:rPr/>
            </w:pPr>
            <w:r>
              <w:rPr/>
              <w:drawing>
                <wp:inline distT="0" distB="0" distL="0" distR="0">
                  <wp:extent cx="142875" cy="142875"/>
                  <wp:effectExtent l="0" t="0" r="0" b="0"/>
                  <wp:docPr id="6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1" descr=""/>
                          <pic:cNvPicPr>
                            <a:picLocks noChangeAspect="1" noChangeArrowheads="1"/>
                          </pic:cNvPicPr>
                        </pic:nvPicPr>
                        <pic:blipFill>
                          <a:blip r:embed="rId41"/>
                          <a:stretch>
                            <a:fillRect/>
                          </a:stretch>
                        </pic:blipFill>
                        <pic:spPr bwMode="auto">
                          <a:xfrm>
                            <a:off x="0" y="0"/>
                            <a:ext cx="142875" cy="142875"/>
                          </a:xfrm>
                          <a:prstGeom prst="rect">
                            <a:avLst/>
                          </a:prstGeom>
                        </pic:spPr>
                      </pic:pic>
                    </a:graphicData>
                  </a:graphic>
                </wp:inline>
              </w:drawing>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46" w:type="dxa"/>
            <w:tcBorders>
              <w:bottom w:val="single" w:sz="2" w:space="0" w:color="666666"/>
            </w:tcBorders>
            <w:tcMar>
              <w:bottom w:w="28" w:type="dxa"/>
            </w:tcMar>
            <w:vAlign w:val="center"/>
          </w:tcPr>
          <w:p>
            <w:pPr>
              <w:pStyle w:val="TableContents"/>
              <w:bidi w:val="0"/>
              <w:spacing w:lineRule="atLeast" w:line="280" w:before="0" w:after="0"/>
              <w:jc w:val="left"/>
              <w:rPr>
                <w:rFonts w:ascii="Tahoma;Geneva;sans-serif" w:hAnsi="Tahoma;Geneva;sans-serif"/>
                <w:b/>
                <w:sz w:val="24"/>
              </w:rPr>
            </w:pPr>
            <w:r>
              <w:rPr>
                <w:rFonts w:ascii="Tahoma;Geneva;sans-serif" w:hAnsi="Tahoma;Geneva;sans-serif"/>
                <w:b/>
                <w:sz w:val="24"/>
              </w:rPr>
              <w:t xml:space="preserve">ELIZABETH A. </w:t>
              <w:br/>
              <w:t>PATRICK</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70"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Former SVP and Chief People Officer, Diebold Nixdorf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57"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One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11" w:type="dxa"/>
            <w:tcBorders>
              <w:bottom w:val="single" w:sz="2" w:space="0" w:color="666666"/>
            </w:tcBorders>
            <w:tcMar>
              <w:bottom w:w="28" w:type="dxa"/>
            </w:tcMar>
            <w:vAlign w:val="center"/>
          </w:tcPr>
          <w:p>
            <w:pPr>
              <w:pStyle w:val="TableContents"/>
              <w:bidi w:val="0"/>
              <w:spacing w:lineRule="atLeast" w:line="210" w:before="0" w:after="0"/>
              <w:jc w:val="left"/>
              <w:rPr/>
            </w:pPr>
            <w:r>
              <w:rPr>
                <w:spacing w:val="-1"/>
              </w:rPr>
              <w:t>58</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6"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2023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76" w:type="dxa"/>
            <w:tcBorders>
              <w:bottom w:val="single" w:sz="2" w:space="0" w:color="666666"/>
            </w:tcBorders>
            <w:tcMar>
              <w:bottom w:w="28" w:type="dxa"/>
            </w:tcMar>
            <w:vAlign w:val="center"/>
          </w:tcPr>
          <w:p>
            <w:pPr>
              <w:pStyle w:val="TableContents"/>
              <w:bidi w:val="0"/>
              <w:spacing w:before="0" w:after="0"/>
              <w:jc w:val="left"/>
              <w:rPr/>
            </w:pPr>
            <w:r>
              <w:rPr/>
              <w:drawing>
                <wp:inline distT="0" distB="0" distL="0" distR="0">
                  <wp:extent cx="142875" cy="142875"/>
                  <wp:effectExtent l="0" t="0" r="0" b="0"/>
                  <wp:docPr id="6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2" descr=""/>
                          <pic:cNvPicPr>
                            <a:picLocks noChangeAspect="1" noChangeArrowheads="1"/>
                          </pic:cNvPicPr>
                        </pic:nvPicPr>
                        <pic:blipFill>
                          <a:blip r:embed="rId42"/>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11"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F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451"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31"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16" w:type="dxa"/>
            <w:tcBorders>
              <w:bottom w:val="single" w:sz="2" w:space="0" w:color="666666"/>
            </w:tcBorders>
            <w:tcMar>
              <w:bottom w:w="28" w:type="dxa"/>
            </w:tcMar>
            <w:vAlign w:val="center"/>
          </w:tcPr>
          <w:p>
            <w:pPr>
              <w:pStyle w:val="TableContents"/>
              <w:bidi w:val="0"/>
              <w:spacing w:before="0" w:after="0"/>
              <w:jc w:val="left"/>
              <w:rPr/>
            </w:pPr>
            <w:r>
              <w:rPr/>
              <w:drawing>
                <wp:inline distT="0" distB="0" distL="0" distR="0">
                  <wp:extent cx="142875" cy="142875"/>
                  <wp:effectExtent l="0" t="0" r="0" b="0"/>
                  <wp:docPr id="6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3" descr=""/>
                          <pic:cNvPicPr>
                            <a:picLocks noChangeAspect="1" noChangeArrowheads="1"/>
                          </pic:cNvPicPr>
                        </pic:nvPicPr>
                        <pic:blipFill>
                          <a:blip r:embed="rId43"/>
                          <a:stretch>
                            <a:fillRect/>
                          </a:stretch>
                        </pic:blipFill>
                        <pic:spPr bwMode="auto">
                          <a:xfrm>
                            <a:off x="0" y="0"/>
                            <a:ext cx="142875" cy="142875"/>
                          </a:xfrm>
                          <a:prstGeom prst="rect">
                            <a:avLst/>
                          </a:prstGeom>
                        </pic:spPr>
                      </pic:pic>
                    </a:graphicData>
                  </a:graphic>
                </wp:inline>
              </w:drawing>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46" w:type="dxa"/>
            <w:tcBorders>
              <w:bottom w:val="single" w:sz="2" w:space="0" w:color="666666"/>
            </w:tcBorders>
            <w:tcMar>
              <w:bottom w:w="28" w:type="dxa"/>
            </w:tcMar>
            <w:vAlign w:val="center"/>
          </w:tcPr>
          <w:p>
            <w:pPr>
              <w:pStyle w:val="TableContents"/>
              <w:bidi w:val="0"/>
              <w:spacing w:lineRule="atLeast" w:line="280" w:before="0" w:after="0"/>
              <w:jc w:val="left"/>
              <w:rPr>
                <w:rFonts w:ascii="Tahoma;Geneva;sans-serif" w:hAnsi="Tahoma;Geneva;sans-serif"/>
                <w:b/>
                <w:sz w:val="24"/>
              </w:rPr>
            </w:pPr>
            <w:r>
              <w:rPr>
                <w:rFonts w:ascii="Tahoma;Geneva;sans-serif" w:hAnsi="Tahoma;Geneva;sans-serif"/>
                <w:b/>
                <w:sz w:val="24"/>
              </w:rPr>
              <w:t xml:space="preserve">SHAKER </w:t>
              <w:br/>
              <w:t>SADASIVAM</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70"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Co-Founder, President and CEO, Auragent Bioscience, LLC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57"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Two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11"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66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6"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2016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76" w:type="dxa"/>
            <w:tcBorders>
              <w:bottom w:val="single" w:sz="2" w:space="0" w:color="666666"/>
            </w:tcBorders>
            <w:tcMar>
              <w:bottom w:w="28" w:type="dxa"/>
            </w:tcMar>
            <w:vAlign w:val="center"/>
          </w:tcPr>
          <w:p>
            <w:pPr>
              <w:pStyle w:val="TableContents"/>
              <w:bidi w:val="0"/>
              <w:spacing w:before="0" w:after="0"/>
              <w:jc w:val="left"/>
              <w:rPr/>
            </w:pPr>
            <w:r>
              <w:rPr/>
              <w:drawing>
                <wp:inline distT="0" distB="0" distL="0" distR="0">
                  <wp:extent cx="142875" cy="142875"/>
                  <wp:effectExtent l="0" t="0" r="0" b="0"/>
                  <wp:docPr id="6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4" descr=""/>
                          <pic:cNvPicPr>
                            <a:picLocks noChangeAspect="1" noChangeArrowheads="1"/>
                          </pic:cNvPicPr>
                        </pic:nvPicPr>
                        <pic:blipFill>
                          <a:blip r:embed="rId44"/>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11"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M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451" w:type="dxa"/>
            <w:tcBorders>
              <w:bottom w:val="single" w:sz="2" w:space="0" w:color="666666"/>
            </w:tcBorders>
            <w:tcMar>
              <w:bottom w:w="28" w:type="dxa"/>
            </w:tcMar>
            <w:vAlign w:val="center"/>
          </w:tcPr>
          <w:p>
            <w:pPr>
              <w:pStyle w:val="TableContents"/>
              <w:bidi w:val="0"/>
              <w:spacing w:before="0" w:after="283"/>
              <w:jc w:val="left"/>
              <w:rPr/>
            </w:pPr>
            <w:r>
              <w:rPr/>
              <w:drawing>
                <wp:inline distT="0" distB="0" distL="0" distR="0">
                  <wp:extent cx="142875" cy="142875"/>
                  <wp:effectExtent l="0" t="0" r="0" b="0"/>
                  <wp:docPr id="7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5" descr=""/>
                          <pic:cNvPicPr>
                            <a:picLocks noChangeAspect="1" noChangeArrowheads="1"/>
                          </pic:cNvPicPr>
                        </pic:nvPicPr>
                        <pic:blipFill>
                          <a:blip r:embed="rId45"/>
                          <a:stretch>
                            <a:fillRect/>
                          </a:stretch>
                        </pic:blipFill>
                        <pic:spPr bwMode="auto">
                          <a:xfrm>
                            <a:off x="0" y="0"/>
                            <a:ext cx="142875" cy="142875"/>
                          </a:xfrm>
                          <a:prstGeom prst="rect">
                            <a:avLst/>
                          </a:prstGeom>
                        </pic:spPr>
                      </pic:pic>
                    </a:graphicData>
                  </a:graphic>
                </wp:inline>
              </w:drawing>
            </w:r>
            <w:r>
              <w:rPr>
                <w:spacing w:val="-1"/>
              </w:rPr>
              <w:t> </w:t>
            </w:r>
            <w:r>
              <w:rPr/>
              <w:drawing>
                <wp:inline distT="0" distB="0" distL="0" distR="0">
                  <wp:extent cx="142875" cy="142875"/>
                  <wp:effectExtent l="0" t="0" r="0" b="0"/>
                  <wp:docPr id="7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6" descr=""/>
                          <pic:cNvPicPr>
                            <a:picLocks noChangeAspect="1" noChangeArrowheads="1"/>
                          </pic:cNvPicPr>
                        </pic:nvPicPr>
                        <pic:blipFill>
                          <a:blip r:embed="rId46"/>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31"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16" w:type="dxa"/>
            <w:tcBorders>
              <w:bottom w:val="single" w:sz="2" w:space="0" w:color="666666"/>
            </w:tcBorders>
            <w:tcMar>
              <w:bottom w:w="28" w:type="dxa"/>
            </w:tcMar>
            <w:vAlign w:val="center"/>
          </w:tcPr>
          <w:p>
            <w:pPr>
              <w:pStyle w:val="TableContents"/>
              <w:bidi w:val="0"/>
              <w:spacing w:before="0" w:after="283"/>
              <w:jc w:val="left"/>
              <w:rPr/>
            </w:pPr>
            <w:r>
              <w:rPr/>
              <w:t>​</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46" w:type="dxa"/>
            <w:tcBorders>
              <w:bottom w:val="single" w:sz="2" w:space="0" w:color="666666"/>
            </w:tcBorders>
            <w:tcMar>
              <w:bottom w:w="60" w:type="dxa"/>
            </w:tcMar>
            <w:vAlign w:val="center"/>
          </w:tcPr>
          <w:p>
            <w:pPr>
              <w:pStyle w:val="TableContents"/>
              <w:bidi w:val="0"/>
              <w:spacing w:lineRule="atLeast" w:line="280" w:before="0" w:after="0"/>
              <w:jc w:val="left"/>
              <w:rPr>
                <w:rFonts w:ascii="Tahoma;Geneva;sans-serif" w:hAnsi="Tahoma;Geneva;sans-serif"/>
                <w:b/>
                <w:sz w:val="24"/>
              </w:rPr>
            </w:pPr>
            <w:r>
              <w:rPr>
                <w:rFonts w:ascii="Tahoma;Geneva;sans-serif" w:hAnsi="Tahoma;Geneva;sans-serif"/>
                <w:b/>
                <w:sz w:val="24"/>
              </w:rPr>
              <w:t xml:space="preserve">STEPHEN A. </w:t>
              <w:br/>
              <w:t>SKAGGS</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70"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Former SVP and CFO, Atmel Corporation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57"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Three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11"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64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6"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2022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76" w:type="dxa"/>
            <w:tcBorders>
              <w:bottom w:val="single" w:sz="2" w:space="0" w:color="666666"/>
            </w:tcBorders>
            <w:tcMar>
              <w:bottom w:w="28" w:type="dxa"/>
            </w:tcMar>
            <w:vAlign w:val="center"/>
          </w:tcPr>
          <w:p>
            <w:pPr>
              <w:pStyle w:val="TableContents"/>
              <w:bidi w:val="0"/>
              <w:spacing w:before="0" w:after="0"/>
              <w:jc w:val="left"/>
              <w:rPr/>
            </w:pPr>
            <w:r>
              <w:rPr/>
              <w:drawing>
                <wp:inline distT="0" distB="0" distL="0" distR="0">
                  <wp:extent cx="142875" cy="142875"/>
                  <wp:effectExtent l="0" t="0" r="0" b="0"/>
                  <wp:docPr id="7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7" descr=""/>
                          <pic:cNvPicPr>
                            <a:picLocks noChangeAspect="1" noChangeArrowheads="1"/>
                          </pic:cNvPicPr>
                        </pic:nvPicPr>
                        <pic:blipFill>
                          <a:blip r:embed="rId47"/>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11"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M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451" w:type="dxa"/>
            <w:tcBorders>
              <w:bottom w:val="single" w:sz="2" w:space="0" w:color="666666"/>
            </w:tcBorders>
            <w:tcMar>
              <w:bottom w:w="28" w:type="dxa"/>
            </w:tcMar>
            <w:vAlign w:val="center"/>
          </w:tcPr>
          <w:p>
            <w:pPr>
              <w:pStyle w:val="TableContents"/>
              <w:bidi w:val="0"/>
              <w:spacing w:before="0" w:after="0"/>
              <w:jc w:val="left"/>
              <w:rPr/>
            </w:pPr>
            <w:r>
              <w:rPr/>
              <w:drawing>
                <wp:inline distT="0" distB="0" distL="0" distR="0">
                  <wp:extent cx="219075" cy="161925"/>
                  <wp:effectExtent l="0" t="0" r="0" b="0"/>
                  <wp:docPr id="7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8" descr=""/>
                          <pic:cNvPicPr>
                            <a:picLocks noChangeAspect="1" noChangeArrowheads="1"/>
                          </pic:cNvPicPr>
                        </pic:nvPicPr>
                        <pic:blipFill>
                          <a:blip r:embed="rId48"/>
                          <a:stretch>
                            <a:fillRect/>
                          </a:stretch>
                        </pic:blipFill>
                        <pic:spPr bwMode="auto">
                          <a:xfrm>
                            <a:off x="0" y="0"/>
                            <a:ext cx="219075" cy="16192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31" w:type="dxa"/>
            <w:tcBorders>
              <w:bottom w:val="single" w:sz="2" w:space="0" w:color="666666"/>
            </w:tcBorders>
            <w:tcMar>
              <w:bottom w:w="28" w:type="dxa"/>
            </w:tcMar>
            <w:vAlign w:val="center"/>
          </w:tcPr>
          <w:p>
            <w:pPr>
              <w:pStyle w:val="TableContents"/>
              <w:bidi w:val="0"/>
              <w:spacing w:before="0" w:after="0"/>
              <w:jc w:val="left"/>
              <w:rPr/>
            </w:pPr>
            <w:r>
              <w:rPr/>
              <w:drawing>
                <wp:inline distT="0" distB="0" distL="0" distR="0">
                  <wp:extent cx="142875" cy="142875"/>
                  <wp:effectExtent l="0" t="0" r="0" b="0"/>
                  <wp:docPr id="7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9" descr=""/>
                          <pic:cNvPicPr>
                            <a:picLocks noChangeAspect="1" noChangeArrowheads="1"/>
                          </pic:cNvPicPr>
                        </pic:nvPicPr>
                        <pic:blipFill>
                          <a:blip r:embed="rId49"/>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16" w:type="dxa"/>
            <w:tcBorders>
              <w:bottom w:val="single" w:sz="2" w:space="0" w:color="666666"/>
            </w:tcBorders>
            <w:tcMar>
              <w:bottom w:w="28" w:type="dxa"/>
            </w:tcMar>
            <w:vAlign w:val="center"/>
          </w:tcPr>
          <w:p>
            <w:pPr>
              <w:pStyle w:val="TableContents"/>
              <w:bidi w:val="0"/>
              <w:spacing w:before="0" w:after="283"/>
              <w:jc w:val="left"/>
              <w:rPr/>
            </w:pPr>
            <w:r>
              <w:rPr/>
              <w:t>​</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46" w:type="dxa"/>
            <w:tcBorders>
              <w:bottom w:val="single" w:sz="2" w:space="0" w:color="666666"/>
            </w:tcBorders>
            <w:tcMar>
              <w:bottom w:w="28" w:type="dxa"/>
            </w:tcMar>
            <w:vAlign w:val="center"/>
          </w:tcPr>
          <w:p>
            <w:pPr>
              <w:pStyle w:val="TableContents"/>
              <w:bidi w:val="0"/>
              <w:spacing w:lineRule="atLeast" w:line="280" w:before="0" w:after="0"/>
              <w:jc w:val="left"/>
              <w:rPr>
                <w:rFonts w:ascii="Tahoma;Geneva;sans-serif" w:hAnsi="Tahoma;Geneva;sans-serif"/>
                <w:b/>
                <w:sz w:val="24"/>
              </w:rPr>
            </w:pPr>
            <w:r>
              <w:rPr>
                <w:rFonts w:ascii="Tahoma;Geneva;sans-serif" w:hAnsi="Tahoma;Geneva;sans-serif"/>
                <w:b/>
                <w:sz w:val="24"/>
              </w:rPr>
              <w:t xml:space="preserve">MICHELLE </w:t>
              <w:br/>
              <w:t>STERLING</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70"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Former EVP and Chief Human Resources Officer, Qualcomm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57"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Two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11" w:type="dxa"/>
            <w:tcBorders>
              <w:bottom w:val="single" w:sz="2" w:space="0" w:color="666666"/>
            </w:tcBorders>
            <w:tcMar>
              <w:bottom w:w="28" w:type="dxa"/>
            </w:tcMar>
            <w:vAlign w:val="center"/>
          </w:tcPr>
          <w:p>
            <w:pPr>
              <w:pStyle w:val="TableContents"/>
              <w:bidi w:val="0"/>
              <w:spacing w:lineRule="atLeast" w:line="210" w:before="0" w:after="0"/>
              <w:jc w:val="left"/>
              <w:rPr/>
            </w:pPr>
            <w:r>
              <w:rPr>
                <w:spacing w:val="-1"/>
              </w:rPr>
              <w:t>59</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6"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2023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76" w:type="dxa"/>
            <w:tcBorders>
              <w:bottom w:val="single" w:sz="2" w:space="0" w:color="666666"/>
            </w:tcBorders>
            <w:tcMar>
              <w:bottom w:w="28" w:type="dxa"/>
            </w:tcMar>
            <w:vAlign w:val="center"/>
          </w:tcPr>
          <w:p>
            <w:pPr>
              <w:pStyle w:val="TableContents"/>
              <w:bidi w:val="0"/>
              <w:spacing w:before="0" w:after="0"/>
              <w:jc w:val="left"/>
              <w:rPr/>
            </w:pPr>
            <w:r>
              <w:rPr/>
              <w:drawing>
                <wp:inline distT="0" distB="0" distL="0" distR="0">
                  <wp:extent cx="142875" cy="142875"/>
                  <wp:effectExtent l="0" t="0" r="0" b="0"/>
                  <wp:docPr id="7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40" descr=""/>
                          <pic:cNvPicPr>
                            <a:picLocks noChangeAspect="1" noChangeArrowheads="1"/>
                          </pic:cNvPicPr>
                        </pic:nvPicPr>
                        <pic:blipFill>
                          <a:blip r:embed="rId50"/>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11"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F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451"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31"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16" w:type="dxa"/>
            <w:tcBorders>
              <w:bottom w:val="single" w:sz="2" w:space="0" w:color="666666"/>
            </w:tcBorders>
            <w:tcMar>
              <w:bottom w:w="28" w:type="dxa"/>
            </w:tcMar>
            <w:vAlign w:val="center"/>
          </w:tcPr>
          <w:p>
            <w:pPr>
              <w:pStyle w:val="TableContents"/>
              <w:bidi w:val="0"/>
              <w:spacing w:lineRule="atLeast" w:line="260" w:before="0" w:after="0"/>
              <w:jc w:val="left"/>
              <w:rPr>
                <w:rFonts w:ascii="Tahoma;Geneva;sans-serif" w:hAnsi="Tahoma;Geneva;sans-serif"/>
                <w:b/>
                <w:color w:val="0068C7"/>
                <w:sz w:val="22"/>
              </w:rPr>
            </w:pPr>
            <w:r>
              <w:rPr>
                <w:rFonts w:ascii="Tahoma;Geneva;sans-serif" w:hAnsi="Tahoma;Geneva;sans-serif"/>
                <w:b/>
                <w:color w:val="0068C7"/>
                <w:sz w:val="22"/>
              </w:rPr>
              <w:t>C</w:t>
            </w:r>
            <w:r>
              <w:rPr>
                <w:rFonts w:ascii="Tahoma;Geneva;sans-serif" w:hAnsi="Tahoma;Geneva;sans-serif"/>
                <w:b/>
                <w:color w:val="000000"/>
                <w:sz w:val="22"/>
              </w:rPr>
              <w:t>​</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46" w:type="dxa"/>
            <w:tcBorders>
              <w:bottom w:val="single" w:sz="2" w:space="0" w:color="666666"/>
            </w:tcBorders>
            <w:tcMar>
              <w:bottom w:w="60" w:type="dxa"/>
            </w:tcMar>
            <w:vAlign w:val="center"/>
          </w:tcPr>
          <w:p>
            <w:pPr>
              <w:pStyle w:val="TableContents"/>
              <w:bidi w:val="0"/>
              <w:spacing w:lineRule="atLeast" w:line="280" w:before="0" w:after="0"/>
              <w:jc w:val="left"/>
              <w:rPr>
                <w:rFonts w:ascii="Tahoma;Geneva;sans-serif" w:hAnsi="Tahoma;Geneva;sans-serif"/>
                <w:b/>
                <w:sz w:val="24"/>
              </w:rPr>
            </w:pPr>
            <w:r>
              <w:rPr>
                <w:rFonts w:ascii="Tahoma;Geneva;sans-serif" w:hAnsi="Tahoma;Geneva;sans-serif"/>
                <w:b/>
                <w:sz w:val="24"/>
              </w:rPr>
              <w:t xml:space="preserve">SANDEEP </w:t>
              <w:br/>
              <w:t>VIJ</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70"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Former President and CEO, MIPS Technologies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57"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Three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11"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60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6"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2022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76" w:type="dxa"/>
            <w:tcBorders>
              <w:bottom w:val="single" w:sz="2" w:space="0" w:color="666666"/>
            </w:tcBorders>
            <w:tcMar>
              <w:bottom w:w="28" w:type="dxa"/>
            </w:tcMar>
            <w:vAlign w:val="center"/>
          </w:tcPr>
          <w:p>
            <w:pPr>
              <w:pStyle w:val="TableContents"/>
              <w:bidi w:val="0"/>
              <w:spacing w:before="0" w:after="0"/>
              <w:jc w:val="left"/>
              <w:rPr/>
            </w:pPr>
            <w:r>
              <w:rPr/>
              <w:drawing>
                <wp:inline distT="0" distB="0" distL="0" distR="0">
                  <wp:extent cx="142875" cy="142875"/>
                  <wp:effectExtent l="0" t="0" r="0" b="0"/>
                  <wp:docPr id="7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41" descr=""/>
                          <pic:cNvPicPr>
                            <a:picLocks noChangeAspect="1" noChangeArrowheads="1"/>
                          </pic:cNvPicPr>
                        </pic:nvPicPr>
                        <pic:blipFill>
                          <a:blip r:embed="rId51"/>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11"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M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451"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31"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16" w:type="dxa"/>
            <w:tcBorders>
              <w:bottom w:val="single" w:sz="2" w:space="0" w:color="666666"/>
            </w:tcBorders>
            <w:tcMar>
              <w:bottom w:w="28" w:type="dxa"/>
            </w:tcMar>
            <w:vAlign w:val="center"/>
          </w:tcPr>
          <w:p>
            <w:pPr>
              <w:pStyle w:val="TableContents"/>
              <w:bidi w:val="0"/>
              <w:spacing w:before="0" w:after="0"/>
              <w:jc w:val="left"/>
              <w:rPr/>
            </w:pPr>
            <w:r>
              <w:rPr/>
              <w:drawing>
                <wp:inline distT="0" distB="0" distL="0" distR="0">
                  <wp:extent cx="142875" cy="142875"/>
                  <wp:effectExtent l="0" t="0" r="0" b="0"/>
                  <wp:docPr id="7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42" descr=""/>
                          <pic:cNvPicPr>
                            <a:picLocks noChangeAspect="1" noChangeArrowheads="1"/>
                          </pic:cNvPicPr>
                        </pic:nvPicPr>
                        <pic:blipFill>
                          <a:blip r:embed="rId52"/>
                          <a:stretch>
                            <a:fillRect/>
                          </a:stretch>
                        </pic:blipFill>
                        <pic:spPr bwMode="auto">
                          <a:xfrm>
                            <a:off x="0" y="0"/>
                            <a:ext cx="142875" cy="142875"/>
                          </a:xfrm>
                          <a:prstGeom prst="rect">
                            <a:avLst/>
                          </a:prstGeom>
                        </pic:spPr>
                      </pic:pic>
                    </a:graphicData>
                  </a:graphic>
                </wp:inline>
              </w:drawing>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46" w:type="dxa"/>
            <w:tcBorders>
              <w:bottom w:val="single" w:sz="2" w:space="0" w:color="666666"/>
            </w:tcBorders>
            <w:tcMar>
              <w:bottom w:w="80" w:type="dxa"/>
            </w:tcMar>
            <w:vAlign w:val="center"/>
          </w:tcPr>
          <w:p>
            <w:pPr>
              <w:pStyle w:val="TableContents"/>
              <w:bidi w:val="0"/>
              <w:spacing w:lineRule="atLeast" w:line="280" w:before="0" w:after="0"/>
              <w:jc w:val="left"/>
              <w:rPr>
                <w:rFonts w:ascii="Tahoma;Geneva;sans-serif" w:hAnsi="Tahoma;Geneva;sans-serif"/>
                <w:b/>
                <w:sz w:val="24"/>
              </w:rPr>
            </w:pPr>
            <w:r>
              <w:rPr>
                <w:rFonts w:ascii="Tahoma;Geneva;sans-serif" w:hAnsi="Tahoma;Geneva;sans-serif"/>
                <w:b/>
                <w:sz w:val="24"/>
              </w:rPr>
              <w:t xml:space="preserve">HOWARD H. </w:t>
              <w:br/>
              <w:t>XIA</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70"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Former General Manager, Vodafone China Limited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57"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One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11"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66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6"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2011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76" w:type="dxa"/>
            <w:tcBorders>
              <w:bottom w:val="single" w:sz="2" w:space="0" w:color="666666"/>
            </w:tcBorders>
            <w:tcMar>
              <w:bottom w:w="28" w:type="dxa"/>
            </w:tcMar>
            <w:vAlign w:val="center"/>
          </w:tcPr>
          <w:p>
            <w:pPr>
              <w:pStyle w:val="TableContents"/>
              <w:bidi w:val="0"/>
              <w:spacing w:before="0" w:after="0"/>
              <w:jc w:val="left"/>
              <w:rPr/>
            </w:pPr>
            <w:r>
              <w:rPr/>
              <w:drawing>
                <wp:inline distT="0" distB="0" distL="0" distR="0">
                  <wp:extent cx="142875" cy="142875"/>
                  <wp:effectExtent l="0" t="0" r="0" b="0"/>
                  <wp:docPr id="7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43" descr=""/>
                          <pic:cNvPicPr>
                            <a:picLocks noChangeAspect="1" noChangeArrowheads="1"/>
                          </pic:cNvPicPr>
                        </pic:nvPicPr>
                        <pic:blipFill>
                          <a:blip r:embed="rId53"/>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11" w:type="dxa"/>
            <w:tcBorders>
              <w:bottom w:val="single" w:sz="2" w:space="0" w:color="666666"/>
            </w:tcBorders>
            <w:tcMar>
              <w:bottom w:w="28" w:type="dxa"/>
            </w:tcMar>
            <w:vAlign w:val="center"/>
          </w:tcPr>
          <w:p>
            <w:pPr>
              <w:pStyle w:val="TableContents"/>
              <w:bidi w:val="0"/>
              <w:spacing w:lineRule="atLeast" w:line="210" w:before="0" w:after="0"/>
              <w:jc w:val="left"/>
              <w:rPr>
                <w:spacing w:val="-1"/>
              </w:rPr>
            </w:pPr>
            <w:r>
              <w:rPr>
                <w:spacing w:val="-1"/>
              </w:rPr>
              <w:t xml:space="preserve">M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451"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31"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16" w:type="dxa"/>
            <w:tcBorders>
              <w:bottom w:val="single" w:sz="2" w:space="0" w:color="666666"/>
            </w:tcBorders>
            <w:tcMar>
              <w:bottom w:w="28" w:type="dxa"/>
            </w:tcMar>
            <w:vAlign w:val="center"/>
          </w:tcPr>
          <w:p>
            <w:pPr>
              <w:pStyle w:val="TableContents"/>
              <w:bidi w:val="0"/>
              <w:spacing w:before="0" w:after="0"/>
              <w:jc w:val="left"/>
              <w:rPr/>
            </w:pPr>
            <w:r>
              <w:rPr/>
              <w:drawing>
                <wp:inline distT="0" distB="0" distL="0" distR="0">
                  <wp:extent cx="142875" cy="142875"/>
                  <wp:effectExtent l="0" t="0" r="0" b="0"/>
                  <wp:docPr id="7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44" descr=""/>
                          <pic:cNvPicPr>
                            <a:picLocks noChangeAspect="1" noChangeArrowheads="1"/>
                          </pic:cNvPicPr>
                        </pic:nvPicPr>
                        <pic:blipFill>
                          <a:blip r:embed="rId54"/>
                          <a:stretch>
                            <a:fillRect/>
                          </a:stretch>
                        </pic:blipFill>
                        <pic:spPr bwMode="auto">
                          <a:xfrm>
                            <a:off x="0" y="0"/>
                            <a:ext cx="142875" cy="142875"/>
                          </a:xfrm>
                          <a:prstGeom prst="rect">
                            <a:avLst/>
                          </a:prstGeom>
                        </pic:spPr>
                      </pic:pic>
                    </a:graphicData>
                  </a:graphic>
                </wp:inline>
              </w:drawing>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bl>
    <w:tbl>
      <w:tblPr>
        <w:tblW w:w="9272" w:type="dxa"/>
        <w:jc w:val="left"/>
        <w:tblInd w:w="893" w:type="dxa"/>
        <w:tblLayout w:type="fixed"/>
        <w:tblCellMar>
          <w:top w:w="0" w:type="dxa"/>
          <w:left w:w="0" w:type="dxa"/>
          <w:bottom w:w="0" w:type="dxa"/>
          <w:right w:w="0" w:type="dxa"/>
        </w:tblCellMar>
      </w:tblPr>
      <w:tblGrid>
        <w:gridCol w:w="124"/>
        <w:gridCol w:w="2152"/>
        <w:gridCol w:w="109"/>
        <w:gridCol w:w="109"/>
        <w:gridCol w:w="5140"/>
        <w:gridCol w:w="109"/>
        <w:gridCol w:w="109"/>
        <w:gridCol w:w="1265"/>
        <w:gridCol w:w="155"/>
      </w:tblGrid>
      <w:tr>
        <w:trPr/>
        <w:tc>
          <w:tcPr>
            <w:tcW w:w="124" w:type="dxa"/>
            <w:tcBorders/>
            <w:vAlign w:val="center"/>
          </w:tcPr>
          <w:p>
            <w:pPr>
              <w:pStyle w:val="TableContents"/>
              <w:bidi w:val="0"/>
              <w:spacing w:before="0" w:after="283"/>
              <w:jc w:val="left"/>
              <w:rPr/>
            </w:pPr>
            <w:r>
              <w:rPr/>
              <w:t>​</w:t>
            </w:r>
          </w:p>
        </w:tc>
        <w:tc>
          <w:tcPr>
            <w:tcW w:w="2152" w:type="dxa"/>
            <w:tcBorders/>
            <w:vAlign w:val="center"/>
          </w:tcPr>
          <w:p>
            <w:pPr>
              <w:pStyle w:val="TableContents"/>
              <w:bidi w:val="0"/>
              <w:spacing w:before="0" w:after="283"/>
              <w:jc w:val="left"/>
              <w:rPr/>
            </w:pPr>
            <w:r>
              <w:rPr/>
              <w:drawing>
                <wp:inline distT="0" distB="0" distL="0" distR="0">
                  <wp:extent cx="142875" cy="142875"/>
                  <wp:effectExtent l="0" t="0" r="0" b="0"/>
                  <wp:docPr id="8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5" descr=""/>
                          <pic:cNvPicPr>
                            <a:picLocks noChangeAspect="1" noChangeArrowheads="1"/>
                          </pic:cNvPicPr>
                        </pic:nvPicPr>
                        <pic:blipFill>
                          <a:blip r:embed="rId55"/>
                          <a:stretch>
                            <a:fillRect/>
                          </a:stretch>
                        </pic:blipFill>
                        <pic:spPr bwMode="auto">
                          <a:xfrm>
                            <a:off x="0" y="0"/>
                            <a:ext cx="142875" cy="142875"/>
                          </a:xfrm>
                          <a:prstGeom prst="rect">
                            <a:avLst/>
                          </a:prstGeom>
                        </pic:spPr>
                      </pic:pic>
                    </a:graphicData>
                  </a:graphic>
                </wp:inline>
              </w:drawing>
            </w:r>
            <w:r>
              <w:rPr>
                <w:spacing w:val="-1"/>
              </w:rPr>
              <w:t> </w:t>
            </w:r>
            <w:r>
              <w:rPr>
                <w:spacing w:val="-1"/>
              </w:rPr>
              <w:t xml:space="preserve">Committee member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40" w:type="dxa"/>
            <w:tcBorders/>
            <w:vAlign w:val="center"/>
          </w:tcPr>
          <w:p>
            <w:pPr>
              <w:pStyle w:val="TableContents"/>
              <w:bidi w:val="0"/>
              <w:spacing w:before="0" w:after="283"/>
              <w:jc w:val="left"/>
              <w:rPr/>
            </w:pPr>
            <w:r>
              <w:rPr/>
              <w:drawing>
                <wp:inline distT="0" distB="0" distL="0" distR="0">
                  <wp:extent cx="142875" cy="142875"/>
                  <wp:effectExtent l="0" t="0" r="0" b="0"/>
                  <wp:docPr id="8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46" descr=""/>
                          <pic:cNvPicPr>
                            <a:picLocks noChangeAspect="1" noChangeArrowheads="1"/>
                          </pic:cNvPicPr>
                        </pic:nvPicPr>
                        <pic:blipFill>
                          <a:blip r:embed="rId56"/>
                          <a:stretch>
                            <a:fillRect/>
                          </a:stretch>
                        </pic:blipFill>
                        <pic:spPr bwMode="auto">
                          <a:xfrm>
                            <a:off x="0" y="0"/>
                            <a:ext cx="142875" cy="142875"/>
                          </a:xfrm>
                          <a:prstGeom prst="rect">
                            <a:avLst/>
                          </a:prstGeom>
                        </pic:spPr>
                      </pic:pic>
                    </a:graphicData>
                  </a:graphic>
                </wp:inline>
              </w:drawing>
            </w:r>
            <w:r>
              <w:rPr>
                <w:spacing w:val="-1"/>
              </w:rPr>
              <w:t> </w:t>
            </w:r>
            <w:r>
              <w:rPr>
                <w:spacing w:val="-1"/>
              </w:rPr>
              <w:t xml:space="preserve">Audit Committee Financial Expert (as defined by the SEC)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lineRule="atLeast" w:line="142" w:before="0" w:after="0"/>
              <w:jc w:val="left"/>
              <w:rPr>
                <w:rFonts w:ascii="Tahoma;Geneva;sans-serif" w:hAnsi="Tahoma;Geneva;sans-serif"/>
                <w:b/>
                <w:sz w:val="22"/>
              </w:rPr>
            </w:pPr>
            <w:r>
              <w:rPr>
                <w:rFonts w:ascii="Tahoma;Geneva;sans-serif" w:hAnsi="Tahoma;Geneva;sans-serif"/>
                <w:b/>
                <w:color w:val="0068C7"/>
                <w:sz w:val="22"/>
              </w:rPr>
              <w:t xml:space="preserve">C </w:t>
            </w:r>
            <w:r>
              <w:rPr>
                <w:rFonts w:ascii="Arial;Helvetica;sans-serif" w:hAnsi="Arial;Helvetica;sans-serif"/>
                <w:b w:val="false"/>
                <w:spacing w:val="-1"/>
                <w:sz w:val="14"/>
              </w:rPr>
              <w:t>Committee Chair</w:t>
            </w:r>
            <w:r>
              <w:rPr>
                <w:rFonts w:ascii="Tahoma;Geneva;sans-serif" w:hAnsi="Tahoma;Geneva;sans-serif"/>
                <w:b/>
                <w:sz w:val="22"/>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190" w:before="128" w:after="283"/>
        <w:ind w:left="893" w:right="40" w:hanging="0"/>
        <w:jc w:val="left"/>
        <w:rPr>
          <w:rFonts w:ascii="Arial;Helvetica;sans-serif" w:hAnsi="Arial;Helvetica;sans-serif"/>
          <w:b w:val="false"/>
          <w:i/>
          <w:caps w:val="false"/>
          <w:smallCaps w:val="false"/>
          <w:color w:val="000000"/>
          <w:sz w:val="14"/>
          <w:shd w:fill="FFFFFF" w:val="clear"/>
        </w:rPr>
      </w:pPr>
      <w:r>
        <w:rPr>
          <w:rFonts w:ascii="Arial;Helvetica;sans-serif" w:hAnsi="Arial;Helvetica;sans-serif"/>
          <w:b w:val="false"/>
          <w:i/>
          <w:caps w:val="false"/>
          <w:smallCaps w:val="false"/>
          <w:color w:val="000000"/>
          <w:sz w:val="14"/>
          <w:shd w:fill="FFFFFF" w:val="clear"/>
        </w:rPr>
        <w:t>Note: Age as of September 30, 2026</w:t>
      </w:r>
      <w:r>
        <w:rPr>
          <w:rFonts w:ascii="Arial;Helvetica;sans-serif" w:hAnsi="Arial;Helvetica;sans-serif"/>
          <w:b w:val="false"/>
          <w:i/>
          <w:caps w:val="false"/>
          <w:smallCaps w:val="false"/>
          <w:color w:val="000000"/>
          <w:spacing w:val="-1"/>
          <w:sz w:val="14"/>
          <w:shd w:fill="FFFFFF" w:val="clear"/>
        </w:rPr>
        <w:t xml:space="preserve"> </w:t>
      </w:r>
    </w:p>
    <w:p>
      <w:pPr>
        <w:pStyle w:val="TextBody"/>
        <w:bidi w:val="0"/>
        <w:spacing w:lineRule="atLeast" w:line="190" w:before="40" w:after="283"/>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i w:val="false"/>
          <w:caps w:val="false"/>
          <w:smallCaps w:val="false"/>
          <w:color w:val="000000"/>
          <w:spacing w:val="-2"/>
          <w:sz w:val="14"/>
          <w:shd w:fill="FFFFFF" w:val="clear"/>
        </w:rPr>
        <w:t>AR —</w:t>
      </w:r>
      <w:r>
        <w:rPr>
          <w:rFonts w:ascii="Arial;Helvetica;sans-serif" w:hAnsi="Arial;Helvetica;sans-serif"/>
          <w:b w:val="false"/>
          <w:i w:val="false"/>
          <w:caps w:val="false"/>
          <w:smallCaps w:val="false"/>
          <w:color w:val="000000"/>
          <w:spacing w:val="-1"/>
          <w:sz w:val="14"/>
          <w:shd w:fill="FFFFFF" w:val="clear"/>
        </w:rPr>
        <w:t xml:space="preserve"> Audit and Risk Committee | </w:t>
      </w:r>
      <w:r>
        <w:rPr>
          <w:rFonts w:ascii="Arial;Helvetica;sans-serif" w:hAnsi="Arial;Helvetica;sans-serif"/>
          <w:b/>
          <w:i w:val="false"/>
          <w:caps w:val="false"/>
          <w:smallCaps w:val="false"/>
          <w:color w:val="000000"/>
          <w:spacing w:val="-2"/>
          <w:sz w:val="14"/>
          <w:shd w:fill="FFFFFF" w:val="clear"/>
        </w:rPr>
        <w:t>NCG —</w:t>
      </w:r>
      <w:r>
        <w:rPr>
          <w:rFonts w:ascii="Arial;Helvetica;sans-serif" w:hAnsi="Arial;Helvetica;sans-serif"/>
          <w:b w:val="false"/>
          <w:i w:val="false"/>
          <w:caps w:val="false"/>
          <w:smallCaps w:val="false"/>
          <w:color w:val="000000"/>
          <w:spacing w:val="-1"/>
          <w:sz w:val="14"/>
          <w:shd w:fill="FFFFFF" w:val="clear"/>
        </w:rPr>
        <w:t xml:space="preserve"> Nominating and Corporate Governance Committee | </w:t>
      </w:r>
      <w:r>
        <w:rPr>
          <w:rFonts w:ascii="Arial;Helvetica;sans-serif" w:hAnsi="Arial;Helvetica;sans-serif"/>
          <w:b/>
          <w:i w:val="false"/>
          <w:caps w:val="false"/>
          <w:smallCaps w:val="false"/>
          <w:color w:val="000000"/>
          <w:spacing w:val="-2"/>
          <w:sz w:val="14"/>
          <w:shd w:fill="FFFFFF" w:val="clear"/>
        </w:rPr>
        <w:t>CHC —</w:t>
      </w:r>
      <w:r>
        <w:rPr>
          <w:rFonts w:ascii="Arial;Helvetica;sans-serif" w:hAnsi="Arial;Helvetica;sans-serif"/>
          <w:b w:val="false"/>
          <w:i w:val="false"/>
          <w:caps w:val="false"/>
          <w:smallCaps w:val="false"/>
          <w:color w:val="000000"/>
          <w:spacing w:val="-1"/>
          <w:sz w:val="14"/>
          <w:shd w:fill="FFFFFF" w:val="clear"/>
        </w:rPr>
        <w:t xml:space="preserve"> Compensation and Human Capital Committee</w:t>
      </w:r>
      <w:r>
        <w:rPr>
          <w:rFonts w:ascii="Arial;Helvetica;sans-serif" w:hAnsi="Arial;Helvetica;sans-serif"/>
          <w:b w:val="false"/>
          <w:i w:val="false"/>
          <w:caps w:val="false"/>
          <w:smallCaps w:val="false"/>
          <w:color w:val="000000"/>
          <w:spacing w:val="3"/>
          <w:sz w:val="14"/>
          <w:shd w:fill="FFFFFF" w:val="clear"/>
        </w:rPr>
        <w:t xml:space="preserve">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440" w:before="120" w:after="283"/>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DIRECTOR ATTRIBUTES AND EXPERIENCE</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table below highlights some of the categories of key attributes and experience possessed by our continuing directors and nominees for election which are further defined below, and which are valued by our Board in guiding a complex, global manufacturing company and in overseeing our strategy for future growth. The biographies of our directors include more information about our directors’ relevant skills, experience and qualifications.</w:t>
      </w:r>
      <w:r>
        <w:rPr>
          <w:rFonts w:ascii="Arial;Helvetica;sans-serif" w:hAnsi="Arial;Helvetica;sans-serif"/>
          <w:b w:val="false"/>
          <w:i w:val="false"/>
          <w:caps w:val="false"/>
          <w:smallCaps w:val="false"/>
          <w:color w:val="000000"/>
          <w:spacing w:val="4"/>
          <w:sz w:val="19"/>
          <w:shd w:fill="FFFFFF" w:val="clear"/>
        </w:rPr>
        <w:t xml:space="preserve"> </w:t>
      </w:r>
    </w:p>
    <w:tbl>
      <w:tblPr>
        <w:tblW w:w="31718" w:type="dxa"/>
        <w:jc w:val="left"/>
        <w:tblInd w:w="893" w:type="dxa"/>
        <w:tblLayout w:type="fixed"/>
        <w:tblCellMar>
          <w:top w:w="0" w:type="dxa"/>
          <w:left w:w="0" w:type="dxa"/>
          <w:bottom w:w="0" w:type="dxa"/>
          <w:right w:w="0" w:type="dxa"/>
        </w:tblCellMar>
      </w:tblPr>
      <w:tblGrid>
        <w:gridCol w:w="124"/>
        <w:gridCol w:w="1366"/>
        <w:gridCol w:w="109"/>
        <w:gridCol w:w="109"/>
        <w:gridCol w:w="2516"/>
        <w:gridCol w:w="109"/>
        <w:gridCol w:w="109"/>
        <w:gridCol w:w="2516"/>
        <w:gridCol w:w="109"/>
        <w:gridCol w:w="109"/>
        <w:gridCol w:w="2516"/>
        <w:gridCol w:w="109"/>
        <w:gridCol w:w="109"/>
        <w:gridCol w:w="2516"/>
        <w:gridCol w:w="109"/>
        <w:gridCol w:w="109"/>
        <w:gridCol w:w="2516"/>
        <w:gridCol w:w="109"/>
        <w:gridCol w:w="109"/>
        <w:gridCol w:w="2516"/>
        <w:gridCol w:w="109"/>
        <w:gridCol w:w="109"/>
        <w:gridCol w:w="2516"/>
        <w:gridCol w:w="109"/>
        <w:gridCol w:w="109"/>
        <w:gridCol w:w="2516"/>
        <w:gridCol w:w="109"/>
        <w:gridCol w:w="109"/>
        <w:gridCol w:w="2516"/>
        <w:gridCol w:w="109"/>
        <w:gridCol w:w="109"/>
        <w:gridCol w:w="2516"/>
        <w:gridCol w:w="109"/>
        <w:gridCol w:w="109"/>
        <w:gridCol w:w="2516"/>
        <w:gridCol w:w="154"/>
      </w:tblGrid>
      <w:tr>
        <w:trPr/>
        <w:tc>
          <w:tcPr>
            <w:tcW w:w="124" w:type="dxa"/>
            <w:tcBorders/>
            <w:shd w:fill="000000" w:val="clear"/>
            <w:vAlign w:val="center"/>
          </w:tcPr>
          <w:p>
            <w:pPr>
              <w:pStyle w:val="TableContents"/>
              <w:bidi w:val="0"/>
              <w:spacing w:before="0" w:after="283"/>
              <w:jc w:val="left"/>
              <w:rPr/>
            </w:pPr>
            <w:r>
              <w:rPr/>
              <w:t>​</w:t>
            </w:r>
          </w:p>
        </w:tc>
        <w:tc>
          <w:tcPr>
            <w:tcW w:w="1366" w:type="dxa"/>
            <w:tcBorders/>
            <w:shd w:fill="000000"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516" w:type="dxa"/>
            <w:tcBorders/>
            <w:shd w:fill="000000"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543050" cy="368300"/>
                      <wp:effectExtent l="0" t="0" r="0" b="0"/>
                      <wp:wrapNone/>
                      <wp:docPr id="82" name="Frame27"/>
                      <a:graphic xmlns:a="http://schemas.openxmlformats.org/drawingml/2006/main">
                        <a:graphicData uri="http://schemas.microsoft.com/office/word/2010/wordprocessingShape">
                          <wps:wsp>
                            <wps:cNvSpPr txBox="1"/>
                            <wps:spPr>
                              <a:xfrm>
                                <a:off x="0" y="0"/>
                                <a:ext cx="1543050" cy="368300"/>
                              </a:xfrm>
                              <a:prstGeom prst="rect"/>
                              <a:solidFill>
                                <a:srgbClr val="FFFFFF"/>
                              </a:solidFill>
                            </wps:spPr>
                            <wps:txbx>
                              <w:txbxContent>
                                <w:p>
                                  <w:pPr>
                                    <w:pStyle w:val="TextBody"/>
                                    <w:bidi w:val="0"/>
                                    <w:spacing w:before="0" w:after="283"/>
                                    <w:jc w:val="left"/>
                                    <w:rPr/>
                                  </w:pPr>
                                  <w:r>
                                    <w:rPr/>
                                    <w:t xml:space="preserve">Accounting/​Finance </w:t>
                                  </w:r>
                                </w:p>
                              </w:txbxContent>
                            </wps:txbx>
                            <wps:bodyPr anchor="t" lIns="0" tIns="0" rIns="0" bIns="0">
                              <a:noAutofit/>
                            </wps:bodyPr>
                          </wps:wsp>
                        </a:graphicData>
                      </a:graphic>
                    </wp:anchor>
                  </w:drawing>
                </mc:Choice>
                <mc:Fallback>
                  <w:pict>
                    <v:rect style="position:absolute;rotation:-0;width:121.5pt;height:29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 xml:space="preserve">Accounting/​Finance </w:t>
                            </w:r>
                          </w:p>
                        </w:txbxContent>
                      </v:textbox>
                      <w10:wrap type="none"/>
                    </v:rect>
                  </w:pict>
                </mc:Fallback>
              </mc:AlternateConten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516" w:type="dxa"/>
            <w:tcBorders/>
            <w:shd w:fill="000000"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543050" cy="368300"/>
                      <wp:effectExtent l="0" t="0" r="0" b="0"/>
                      <wp:wrapNone/>
                      <wp:docPr id="83" name="Frame28"/>
                      <a:graphic xmlns:a="http://schemas.openxmlformats.org/drawingml/2006/main">
                        <a:graphicData uri="http://schemas.microsoft.com/office/word/2010/wordprocessingShape">
                          <wps:wsp>
                            <wps:cNvSpPr txBox="1"/>
                            <wps:spPr>
                              <a:xfrm>
                                <a:off x="0" y="0"/>
                                <a:ext cx="1543050" cy="368300"/>
                              </a:xfrm>
                              <a:prstGeom prst="rect"/>
                              <a:solidFill>
                                <a:srgbClr val="FFFFFF"/>
                              </a:solidFill>
                            </wps:spPr>
                            <wps:txbx>
                              <w:txbxContent>
                                <w:p>
                                  <w:pPr>
                                    <w:pStyle w:val="TextBody"/>
                                    <w:bidi w:val="0"/>
                                    <w:spacing w:before="0" w:after="283"/>
                                    <w:jc w:val="left"/>
                                    <w:rPr/>
                                  </w:pPr>
                                  <w:r>
                                    <w:rPr/>
                                    <w:t>Busi</w:t>
                                    <w:softHyphen/>
                                    <w:t>ness</w:t>
                                    <w:br/>
                                    <w:t>Devel</w:t>
                                    <w:softHyphen/>
                                    <w:t>op</w:t>
                                    <w:softHyphen/>
                                    <w:t xml:space="preserve">ment/​Strategy </w:t>
                                  </w:r>
                                </w:p>
                              </w:txbxContent>
                            </wps:txbx>
                            <wps:bodyPr anchor="t" lIns="0" tIns="0" rIns="0" bIns="0">
                              <a:noAutofit/>
                            </wps:bodyPr>
                          </wps:wsp>
                        </a:graphicData>
                      </a:graphic>
                    </wp:anchor>
                  </w:drawing>
                </mc:Choice>
                <mc:Fallback>
                  <w:pict>
                    <v:rect style="position:absolute;rotation:-0;width:121.5pt;height:29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Busi</w:t>
                              <w:softHyphen/>
                              <w:t>ness</w:t>
                              <w:br/>
                              <w:t>Devel</w:t>
                              <w:softHyphen/>
                              <w:t>op</w:t>
                              <w:softHyphen/>
                              <w:t xml:space="preserve">ment/​Strategy </w:t>
                            </w:r>
                          </w:p>
                        </w:txbxContent>
                      </v:textbox>
                      <w10:wrap type="none"/>
                    </v:rect>
                  </w:pict>
                </mc:Fallback>
              </mc:AlternateConten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516" w:type="dxa"/>
            <w:tcBorders/>
            <w:shd w:fill="000000"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543050" cy="368300"/>
                      <wp:effectExtent l="0" t="0" r="0" b="0"/>
                      <wp:wrapNone/>
                      <wp:docPr id="84" name="Frame29"/>
                      <a:graphic xmlns:a="http://schemas.openxmlformats.org/drawingml/2006/main">
                        <a:graphicData uri="http://schemas.microsoft.com/office/word/2010/wordprocessingShape">
                          <wps:wsp>
                            <wps:cNvSpPr txBox="1"/>
                            <wps:spPr>
                              <a:xfrm>
                                <a:off x="0" y="0"/>
                                <a:ext cx="1543050" cy="368300"/>
                              </a:xfrm>
                              <a:prstGeom prst="rect"/>
                              <a:solidFill>
                                <a:srgbClr val="FFFFFF"/>
                              </a:solidFill>
                            </wps:spPr>
                            <wps:txbx>
                              <w:txbxContent>
                                <w:p>
                                  <w:pPr>
                                    <w:pStyle w:val="TextBody"/>
                                    <w:bidi w:val="0"/>
                                    <w:spacing w:before="0" w:after="283"/>
                                    <w:jc w:val="left"/>
                                    <w:rPr/>
                                  </w:pPr>
                                  <w:r>
                                    <w:rPr/>
                                    <w:t>Cor</w:t>
                                    <w:softHyphen/>
                                    <w:t>po</w:t>
                                    <w:softHyphen/>
                                    <w:t>rate</w:t>
                                    <w:br/>
                                    <w:t>Gover</w:t>
                                    <w:softHyphen/>
                                    <w:t xml:space="preserve">nance/​Ethics </w:t>
                                  </w:r>
                                </w:p>
                              </w:txbxContent>
                            </wps:txbx>
                            <wps:bodyPr anchor="t" lIns="0" tIns="0" rIns="0" bIns="0">
                              <a:noAutofit/>
                            </wps:bodyPr>
                          </wps:wsp>
                        </a:graphicData>
                      </a:graphic>
                    </wp:anchor>
                  </w:drawing>
                </mc:Choice>
                <mc:Fallback>
                  <w:pict>
                    <v:rect style="position:absolute;rotation:-0;width:121.5pt;height:29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Cor</w:t>
                              <w:softHyphen/>
                              <w:t>po</w:t>
                              <w:softHyphen/>
                              <w:t>rate</w:t>
                              <w:br/>
                              <w:t>Gover</w:t>
                              <w:softHyphen/>
                              <w:t xml:space="preserve">nance/​Ethics </w:t>
                            </w:r>
                          </w:p>
                        </w:txbxContent>
                      </v:textbox>
                      <w10:wrap type="none"/>
                    </v:rect>
                  </w:pict>
                </mc:Fallback>
              </mc:AlternateConten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516" w:type="dxa"/>
            <w:tcBorders/>
            <w:shd w:fill="000000"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543050" cy="368300"/>
                      <wp:effectExtent l="0" t="0" r="0" b="0"/>
                      <wp:wrapNone/>
                      <wp:docPr id="85" name="Frame30"/>
                      <a:graphic xmlns:a="http://schemas.openxmlformats.org/drawingml/2006/main">
                        <a:graphicData uri="http://schemas.microsoft.com/office/word/2010/wordprocessingShape">
                          <wps:wsp>
                            <wps:cNvSpPr txBox="1"/>
                            <wps:spPr>
                              <a:xfrm>
                                <a:off x="0" y="0"/>
                                <a:ext cx="1543050" cy="368300"/>
                              </a:xfrm>
                              <a:prstGeom prst="rect"/>
                              <a:solidFill>
                                <a:srgbClr val="FFFFFF"/>
                              </a:solidFill>
                            </wps:spPr>
                            <wps:txbx>
                              <w:txbxContent>
                                <w:p>
                                  <w:pPr>
                                    <w:pStyle w:val="TextBody"/>
                                    <w:bidi w:val="0"/>
                                    <w:spacing w:before="0" w:after="283"/>
                                    <w:jc w:val="left"/>
                                    <w:rPr/>
                                  </w:pPr>
                                  <w:r>
                                    <w:rPr/>
                                    <w:t>Exec</w:t>
                                    <w:softHyphen/>
                                    <w:t>u</w:t>
                                    <w:softHyphen/>
                                    <w:t>tive Leader</w:t>
                                    <w:softHyphen/>
                                    <w:t xml:space="preserve">ship </w:t>
                                  </w:r>
                                </w:p>
                              </w:txbxContent>
                            </wps:txbx>
                            <wps:bodyPr anchor="t" lIns="0" tIns="0" rIns="0" bIns="0">
                              <a:noAutofit/>
                            </wps:bodyPr>
                          </wps:wsp>
                        </a:graphicData>
                      </a:graphic>
                    </wp:anchor>
                  </w:drawing>
                </mc:Choice>
                <mc:Fallback>
                  <w:pict>
                    <v:rect style="position:absolute;rotation:-0;width:121.5pt;height:29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Exec</w:t>
                              <w:softHyphen/>
                              <w:t>u</w:t>
                              <w:softHyphen/>
                              <w:t>tive Leader</w:t>
                              <w:softHyphen/>
                              <w:t xml:space="preserve">ship </w:t>
                            </w:r>
                          </w:p>
                        </w:txbxContent>
                      </v:textbox>
                      <w10:wrap type="none"/>
                    </v:rect>
                  </w:pict>
                </mc:Fallback>
              </mc:AlternateConten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516" w:type="dxa"/>
            <w:tcBorders/>
            <w:shd w:fill="000000"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543050" cy="368300"/>
                      <wp:effectExtent l="0" t="0" r="0" b="0"/>
                      <wp:wrapNone/>
                      <wp:docPr id="86" name="Frame31"/>
                      <a:graphic xmlns:a="http://schemas.openxmlformats.org/drawingml/2006/main">
                        <a:graphicData uri="http://schemas.microsoft.com/office/word/2010/wordprocessingShape">
                          <wps:wsp>
                            <wps:cNvSpPr txBox="1"/>
                            <wps:spPr>
                              <a:xfrm>
                                <a:off x="0" y="0"/>
                                <a:ext cx="1543050" cy="368300"/>
                              </a:xfrm>
                              <a:prstGeom prst="rect"/>
                              <a:solidFill>
                                <a:srgbClr val="FFFFFF"/>
                              </a:solidFill>
                            </wps:spPr>
                            <wps:txbx>
                              <w:txbxContent>
                                <w:p>
                                  <w:pPr>
                                    <w:pStyle w:val="TextBody"/>
                                    <w:bidi w:val="0"/>
                                    <w:spacing w:before="0" w:after="283"/>
                                    <w:jc w:val="left"/>
                                    <w:rPr/>
                                  </w:pPr>
                                  <w:r>
                                    <w:rPr/>
                                    <w:t>IT/​Cyber</w:t>
                                    <w:softHyphen/>
                                    <w:t>se</w:t>
                                    <w:softHyphen/>
                                    <w:t>cu</w:t>
                                    <w:softHyphen/>
                                    <w:t>rity/​Pri</w:t>
                                    <w:softHyphen/>
                                    <w:t xml:space="preserve">vacy </w:t>
                                  </w:r>
                                </w:p>
                              </w:txbxContent>
                            </wps:txbx>
                            <wps:bodyPr anchor="t" lIns="0" tIns="0" rIns="0" bIns="0">
                              <a:noAutofit/>
                            </wps:bodyPr>
                          </wps:wsp>
                        </a:graphicData>
                      </a:graphic>
                    </wp:anchor>
                  </w:drawing>
                </mc:Choice>
                <mc:Fallback>
                  <w:pict>
                    <v:rect style="position:absolute;rotation:-0;width:121.5pt;height:29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IT/​Cyber</w:t>
                              <w:softHyphen/>
                              <w:t>se</w:t>
                              <w:softHyphen/>
                              <w:t>cu</w:t>
                              <w:softHyphen/>
                              <w:t>rity/​Pri</w:t>
                              <w:softHyphen/>
                              <w:t xml:space="preserve">vacy </w:t>
                            </w:r>
                          </w:p>
                        </w:txbxContent>
                      </v:textbox>
                      <w10:wrap type="none"/>
                    </v:rect>
                  </w:pict>
                </mc:Fallback>
              </mc:AlternateConten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516" w:type="dxa"/>
            <w:tcBorders/>
            <w:shd w:fill="000000"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543050" cy="368300"/>
                      <wp:effectExtent l="0" t="0" r="0" b="0"/>
                      <wp:wrapNone/>
                      <wp:docPr id="87" name="Frame32"/>
                      <a:graphic xmlns:a="http://schemas.openxmlformats.org/drawingml/2006/main">
                        <a:graphicData uri="http://schemas.microsoft.com/office/word/2010/wordprocessingShape">
                          <wps:wsp>
                            <wps:cNvSpPr txBox="1"/>
                            <wps:spPr>
                              <a:xfrm>
                                <a:off x="0" y="0"/>
                                <a:ext cx="1543050" cy="368300"/>
                              </a:xfrm>
                              <a:prstGeom prst="rect"/>
                              <a:solidFill>
                                <a:srgbClr val="FFFFFF"/>
                              </a:solidFill>
                            </wps:spPr>
                            <wps:txbx>
                              <w:txbxContent>
                                <w:p>
                                  <w:pPr>
                                    <w:pStyle w:val="TextBody"/>
                                    <w:bidi w:val="0"/>
                                    <w:spacing w:before="0" w:after="283"/>
                                    <w:jc w:val="left"/>
                                    <w:rPr/>
                                  </w:pPr>
                                  <w:r>
                                    <w:rPr/>
                                    <w:t>Legal/​Reg</w:t>
                                    <w:softHyphen/>
                                    <w:t>u</w:t>
                                    <w:softHyphen/>
                                    <w:t>la</w:t>
                                    <w:softHyphen/>
                                    <w:t xml:space="preserve">tory </w:t>
                                  </w:r>
                                </w:p>
                              </w:txbxContent>
                            </wps:txbx>
                            <wps:bodyPr anchor="t" lIns="0" tIns="0" rIns="0" bIns="0">
                              <a:noAutofit/>
                            </wps:bodyPr>
                          </wps:wsp>
                        </a:graphicData>
                      </a:graphic>
                    </wp:anchor>
                  </w:drawing>
                </mc:Choice>
                <mc:Fallback>
                  <w:pict>
                    <v:rect style="position:absolute;rotation:-0;width:121.5pt;height:29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Legal/​Reg</w:t>
                              <w:softHyphen/>
                              <w:t>u</w:t>
                              <w:softHyphen/>
                              <w:t>la</w:t>
                              <w:softHyphen/>
                              <w:t xml:space="preserve">tory </w:t>
                            </w:r>
                          </w:p>
                        </w:txbxContent>
                      </v:textbox>
                      <w10:wrap type="none"/>
                    </v:rect>
                  </w:pict>
                </mc:Fallback>
              </mc:AlternateConten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516" w:type="dxa"/>
            <w:tcBorders/>
            <w:shd w:fill="000000"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543050" cy="701040"/>
                      <wp:effectExtent l="0" t="0" r="0" b="0"/>
                      <wp:wrapNone/>
                      <wp:docPr id="88" name="Frame33"/>
                      <a:graphic xmlns:a="http://schemas.openxmlformats.org/drawingml/2006/main">
                        <a:graphicData uri="http://schemas.microsoft.com/office/word/2010/wordprocessingShape">
                          <wps:wsp>
                            <wps:cNvSpPr txBox="1"/>
                            <wps:spPr>
                              <a:xfrm>
                                <a:off x="0" y="0"/>
                                <a:ext cx="1543050" cy="701040"/>
                              </a:xfrm>
                              <a:prstGeom prst="rect"/>
                              <a:solidFill>
                                <a:srgbClr val="FFFFFF"/>
                              </a:solidFill>
                            </wps:spPr>
                            <wps:txbx>
                              <w:txbxContent>
                                <w:p>
                                  <w:pPr>
                                    <w:pStyle w:val="TextBody"/>
                                    <w:bidi w:val="0"/>
                                    <w:spacing w:before="0" w:after="283"/>
                                    <w:jc w:val="left"/>
                                    <w:rPr/>
                                  </w:pPr>
                                  <w:r>
                                    <w:rPr/>
                                    <w:t>Mate</w:t>
                                    <w:softHyphen/>
                                    <w:t>rials/​Semi</w:t>
                                    <w:softHyphen/>
                                    <w:t>con</w:t>
                                    <w:softHyphen/>
                                    <w:t>ductor/​​</w:t>
                                    <w:br/>
                                    <w:t>Net</w:t>
                                    <w:softHyphen/>
                                    <w:t>working/​Laser Indus</w:t>
                                    <w:softHyphen/>
                                    <w:t xml:space="preserve">tries </w:t>
                                  </w:r>
                                </w:p>
                              </w:txbxContent>
                            </wps:txbx>
                            <wps:bodyPr anchor="t" lIns="0" tIns="0" rIns="0" bIns="0">
                              <a:noAutofit/>
                            </wps:bodyPr>
                          </wps:wsp>
                        </a:graphicData>
                      </a:graphic>
                    </wp:anchor>
                  </w:drawing>
                </mc:Choice>
                <mc:Fallback>
                  <w:pict>
                    <v:rect style="position:absolute;rotation:-0;width:121.5pt;height:55.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Mate</w:t>
                              <w:softHyphen/>
                              <w:t>rials/​Semi</w:t>
                              <w:softHyphen/>
                              <w:t>con</w:t>
                              <w:softHyphen/>
                              <w:t>ductor/​​</w:t>
                              <w:br/>
                              <w:t>Net</w:t>
                              <w:softHyphen/>
                              <w:t>working/​Laser Indus</w:t>
                              <w:softHyphen/>
                              <w:t xml:space="preserve">tries </w:t>
                            </w:r>
                          </w:p>
                        </w:txbxContent>
                      </v:textbox>
                      <w10:wrap type="none"/>
                    </v:rect>
                  </w:pict>
                </mc:Fallback>
              </mc:AlternateConten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516" w:type="dxa"/>
            <w:tcBorders/>
            <w:shd w:fill="000000"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543050" cy="368300"/>
                      <wp:effectExtent l="0" t="0" r="0" b="0"/>
                      <wp:wrapNone/>
                      <wp:docPr id="89" name="Frame34"/>
                      <a:graphic xmlns:a="http://schemas.openxmlformats.org/drawingml/2006/main">
                        <a:graphicData uri="http://schemas.microsoft.com/office/word/2010/wordprocessingShape">
                          <wps:wsp>
                            <wps:cNvSpPr txBox="1"/>
                            <wps:spPr>
                              <a:xfrm>
                                <a:off x="0" y="0"/>
                                <a:ext cx="1543050" cy="368300"/>
                              </a:xfrm>
                              <a:prstGeom prst="rect"/>
                              <a:solidFill>
                                <a:srgbClr val="FFFFFF"/>
                              </a:solidFill>
                            </wps:spPr>
                            <wps:txbx>
                              <w:txbxContent>
                                <w:p>
                                  <w:pPr>
                                    <w:pStyle w:val="TextBody"/>
                                    <w:bidi w:val="0"/>
                                    <w:spacing w:before="0" w:after="283"/>
                                    <w:jc w:val="left"/>
                                    <w:rPr/>
                                  </w:pPr>
                                  <w:r>
                                    <w:rPr/>
                                    <w:t>Oper</w:t>
                                    <w:softHyphen/>
                                    <w:t>a</w:t>
                                    <w:softHyphen/>
                                    <w:t xml:space="preserve">tions </w:t>
                                  </w:r>
                                </w:p>
                              </w:txbxContent>
                            </wps:txbx>
                            <wps:bodyPr anchor="t" lIns="0" tIns="0" rIns="0" bIns="0">
                              <a:noAutofit/>
                            </wps:bodyPr>
                          </wps:wsp>
                        </a:graphicData>
                      </a:graphic>
                    </wp:anchor>
                  </w:drawing>
                </mc:Choice>
                <mc:Fallback>
                  <w:pict>
                    <v:rect style="position:absolute;rotation:-0;width:121.5pt;height:29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Oper</w:t>
                              <w:softHyphen/>
                              <w:t>a</w:t>
                              <w:softHyphen/>
                              <w:t xml:space="preserve">tions </w:t>
                            </w:r>
                          </w:p>
                        </w:txbxContent>
                      </v:textbox>
                      <w10:wrap type="none"/>
                    </v:rect>
                  </w:pict>
                </mc:Fallback>
              </mc:AlternateConten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516" w:type="dxa"/>
            <w:tcBorders/>
            <w:shd w:fill="000000"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543050" cy="368300"/>
                      <wp:effectExtent l="0" t="0" r="0" b="0"/>
                      <wp:wrapNone/>
                      <wp:docPr id="90" name="Frame35"/>
                      <a:graphic xmlns:a="http://schemas.openxmlformats.org/drawingml/2006/main">
                        <a:graphicData uri="http://schemas.microsoft.com/office/word/2010/wordprocessingShape">
                          <wps:wsp>
                            <wps:cNvSpPr txBox="1"/>
                            <wps:spPr>
                              <a:xfrm>
                                <a:off x="0" y="0"/>
                                <a:ext cx="1543050" cy="368300"/>
                              </a:xfrm>
                              <a:prstGeom prst="rect"/>
                              <a:solidFill>
                                <a:srgbClr val="FFFFFF"/>
                              </a:solidFill>
                            </wps:spPr>
                            <wps:txbx>
                              <w:txbxContent>
                                <w:p>
                                  <w:pPr>
                                    <w:pStyle w:val="TextBody"/>
                                    <w:bidi w:val="0"/>
                                    <w:spacing w:before="0" w:after="283"/>
                                    <w:jc w:val="left"/>
                                    <w:rPr/>
                                  </w:pPr>
                                  <w:r>
                                    <w:rPr/>
                                    <w:t>Risk Man</w:t>
                                    <w:softHyphen/>
                                    <w:t>age</w:t>
                                    <w:softHyphen/>
                                    <w:t xml:space="preserve">ment </w:t>
                                  </w:r>
                                </w:p>
                              </w:txbxContent>
                            </wps:txbx>
                            <wps:bodyPr anchor="t" lIns="0" tIns="0" rIns="0" bIns="0">
                              <a:noAutofit/>
                            </wps:bodyPr>
                          </wps:wsp>
                        </a:graphicData>
                      </a:graphic>
                    </wp:anchor>
                  </w:drawing>
                </mc:Choice>
                <mc:Fallback>
                  <w:pict>
                    <v:rect style="position:absolute;rotation:-0;width:121.5pt;height:29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Risk Man</w:t>
                              <w:softHyphen/>
                              <w:t>age</w:t>
                              <w:softHyphen/>
                              <w:t xml:space="preserve">ment </w:t>
                            </w:r>
                          </w:p>
                        </w:txbxContent>
                      </v:textbox>
                      <w10:wrap type="none"/>
                    </v:rect>
                  </w:pict>
                </mc:Fallback>
              </mc:AlternateConten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516" w:type="dxa"/>
            <w:tcBorders/>
            <w:shd w:fill="000000"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543050" cy="368300"/>
                      <wp:effectExtent l="0" t="0" r="0" b="0"/>
                      <wp:wrapNone/>
                      <wp:docPr id="91" name="Frame36"/>
                      <a:graphic xmlns:a="http://schemas.openxmlformats.org/drawingml/2006/main">
                        <a:graphicData uri="http://schemas.microsoft.com/office/word/2010/wordprocessingShape">
                          <wps:wsp>
                            <wps:cNvSpPr txBox="1"/>
                            <wps:spPr>
                              <a:xfrm>
                                <a:off x="0" y="0"/>
                                <a:ext cx="1543050" cy="368300"/>
                              </a:xfrm>
                              <a:prstGeom prst="rect"/>
                              <a:solidFill>
                                <a:srgbClr val="FFFFFF"/>
                              </a:solidFill>
                            </wps:spPr>
                            <wps:txbx>
                              <w:txbxContent>
                                <w:p>
                                  <w:pPr>
                                    <w:pStyle w:val="TextBody"/>
                                    <w:bidi w:val="0"/>
                                    <w:spacing w:before="0" w:after="283"/>
                                    <w:jc w:val="left"/>
                                    <w:rPr/>
                                  </w:pPr>
                                  <w:r>
                                    <w:rPr/>
                                    <w:t>Talent/​Com</w:t>
                                    <w:softHyphen/>
                                    <w:t>pen</w:t>
                                    <w:softHyphen/>
                                    <w:t>sa</w:t>
                                    <w:softHyphen/>
                                    <w:t xml:space="preserve">tion </w:t>
                                  </w:r>
                                </w:p>
                              </w:txbxContent>
                            </wps:txbx>
                            <wps:bodyPr anchor="t" lIns="0" tIns="0" rIns="0" bIns="0">
                              <a:noAutofit/>
                            </wps:bodyPr>
                          </wps:wsp>
                        </a:graphicData>
                      </a:graphic>
                    </wp:anchor>
                  </w:drawing>
                </mc:Choice>
                <mc:Fallback>
                  <w:pict>
                    <v:rect style="position:absolute;rotation:-0;width:121.5pt;height:29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Talent/​Com</w:t>
                              <w:softHyphen/>
                              <w:t>pen</w:t>
                              <w:softHyphen/>
                              <w:t>sa</w:t>
                              <w:softHyphen/>
                              <w:t xml:space="preserve">tion </w:t>
                            </w:r>
                          </w:p>
                        </w:txbxContent>
                      </v:textbox>
                      <w10:wrap type="none"/>
                    </v:rect>
                  </w:pict>
                </mc:Fallback>
              </mc:AlternateConten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516" w:type="dxa"/>
            <w:tcBorders/>
            <w:shd w:fill="000000"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543050" cy="393700"/>
                      <wp:effectExtent l="0" t="0" r="0" b="0"/>
                      <wp:wrapNone/>
                      <wp:docPr id="92" name="Frame37"/>
                      <a:graphic xmlns:a="http://schemas.openxmlformats.org/drawingml/2006/main">
                        <a:graphicData uri="http://schemas.microsoft.com/office/word/2010/wordprocessingShape">
                          <wps:wsp>
                            <wps:cNvSpPr txBox="1"/>
                            <wps:spPr>
                              <a:xfrm>
                                <a:off x="0" y="0"/>
                                <a:ext cx="1543050" cy="393700"/>
                              </a:xfrm>
                              <a:prstGeom prst="rect"/>
                              <a:solidFill>
                                <a:srgbClr val="FFFFFF"/>
                              </a:solidFill>
                            </wps:spPr>
                            <wps:txbx>
                              <w:txbxContent>
                                <w:p>
                                  <w:pPr>
                                    <w:pStyle w:val="TextBody"/>
                                    <w:bidi w:val="0"/>
                                    <w:spacing w:before="0" w:after="283"/>
                                    <w:jc w:val="left"/>
                                    <w:rPr/>
                                  </w:pPr>
                                  <w:r>
                                    <w:rPr/>
                                    <w:t>Tech</w:t>
                                    <w:softHyphen/>
                                    <w:t xml:space="preserve">nology/​IP </w:t>
                                  </w:r>
                                </w:p>
                              </w:txbxContent>
                            </wps:txbx>
                            <wps:bodyPr anchor="t" lIns="0" tIns="0" rIns="0" bIns="0">
                              <a:noAutofit/>
                            </wps:bodyPr>
                          </wps:wsp>
                        </a:graphicData>
                      </a:graphic>
                    </wp:anchor>
                  </w:drawing>
                </mc:Choice>
                <mc:Fallback>
                  <w:pict>
                    <v:rect style="position:absolute;rotation:-0;width:121.5pt;height:3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Tech</w:t>
                              <w:softHyphen/>
                              <w:t xml:space="preserve">nology/​IP </w:t>
                            </w:r>
                          </w:p>
                        </w:txbxContent>
                      </v:textbox>
                      <w10:wrap type="none"/>
                    </v:rect>
                  </w:pict>
                </mc:Fallback>
              </mc:AlternateConten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366" w:type="dxa"/>
            <w:tcBorders>
              <w:bottom w:val="single" w:sz="2" w:space="0" w:color="666666"/>
            </w:tcBorders>
            <w:tcMar>
              <w:bottom w:w="34" w:type="dxa"/>
            </w:tcMar>
            <w:vAlign w:val="center"/>
          </w:tcPr>
          <w:p>
            <w:pPr>
              <w:pStyle w:val="TableContents"/>
              <w:bidi w:val="0"/>
              <w:spacing w:lineRule="atLeast" w:line="255" w:before="0" w:after="0"/>
              <w:jc w:val="left"/>
              <w:rPr/>
            </w:pPr>
            <w:r>
              <w:rPr>
                <w:b/>
                <w:spacing w:val="0"/>
              </w:rPr>
              <w:t>James R. Anderson</w:t>
            </w:r>
            <w:r>
              <w:rPr>
                <w:spacing w:val="-1"/>
              </w:rPr>
              <w:t xml:space="preserve"> </w:t>
              <w:br/>
              <w:t xml:space="preserve">Chief Executive Officer and Director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9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47" descr=""/>
                          <pic:cNvPicPr>
                            <a:picLocks noChangeAspect="1" noChangeArrowheads="1"/>
                          </pic:cNvPicPr>
                        </pic:nvPicPr>
                        <pic:blipFill>
                          <a:blip r:embed="rId57"/>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9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8" descr=""/>
                          <pic:cNvPicPr>
                            <a:picLocks noChangeAspect="1" noChangeArrowheads="1"/>
                          </pic:cNvPicPr>
                        </pic:nvPicPr>
                        <pic:blipFill>
                          <a:blip r:embed="rId58"/>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9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9" descr=""/>
                          <pic:cNvPicPr>
                            <a:picLocks noChangeAspect="1" noChangeArrowheads="1"/>
                          </pic:cNvPicPr>
                        </pic:nvPicPr>
                        <pic:blipFill>
                          <a:blip r:embed="rId59"/>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9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50" descr=""/>
                          <pic:cNvPicPr>
                            <a:picLocks noChangeAspect="1" noChangeArrowheads="1"/>
                          </pic:cNvPicPr>
                        </pic:nvPicPr>
                        <pic:blipFill>
                          <a:blip r:embed="rId60"/>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9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51" descr=""/>
                          <pic:cNvPicPr>
                            <a:picLocks noChangeAspect="1" noChangeArrowheads="1"/>
                          </pic:cNvPicPr>
                        </pic:nvPicPr>
                        <pic:blipFill>
                          <a:blip r:embed="rId61"/>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98"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52" descr=""/>
                          <pic:cNvPicPr>
                            <a:picLocks noChangeAspect="1" noChangeArrowheads="1"/>
                          </pic:cNvPicPr>
                        </pic:nvPicPr>
                        <pic:blipFill>
                          <a:blip r:embed="rId62"/>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9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53" descr=""/>
                          <pic:cNvPicPr>
                            <a:picLocks noChangeAspect="1" noChangeArrowheads="1"/>
                          </pic:cNvPicPr>
                        </pic:nvPicPr>
                        <pic:blipFill>
                          <a:blip r:embed="rId63"/>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0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4" descr=""/>
                          <pic:cNvPicPr>
                            <a:picLocks noChangeAspect="1" noChangeArrowheads="1"/>
                          </pic:cNvPicPr>
                        </pic:nvPicPr>
                        <pic:blipFill>
                          <a:blip r:embed="rId64"/>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0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55" descr=""/>
                          <pic:cNvPicPr>
                            <a:picLocks noChangeAspect="1" noChangeArrowheads="1"/>
                          </pic:cNvPicPr>
                        </pic:nvPicPr>
                        <pic:blipFill>
                          <a:blip r:embed="rId65"/>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02"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56" descr=""/>
                          <pic:cNvPicPr>
                            <a:picLocks noChangeAspect="1" noChangeArrowheads="1"/>
                          </pic:cNvPicPr>
                        </pic:nvPicPr>
                        <pic:blipFill>
                          <a:blip r:embed="rId66"/>
                          <a:stretch>
                            <a:fillRect/>
                          </a:stretch>
                        </pic:blipFill>
                        <pic:spPr bwMode="auto">
                          <a:xfrm>
                            <a:off x="0" y="0"/>
                            <a:ext cx="104775" cy="104775"/>
                          </a:xfrm>
                          <a:prstGeom prst="rect">
                            <a:avLst/>
                          </a:prstGeom>
                        </pic:spPr>
                      </pic:pic>
                    </a:graphicData>
                  </a:graphic>
                </wp:inline>
              </w:drawing>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366" w:type="dxa"/>
            <w:tcBorders>
              <w:bottom w:val="single" w:sz="2" w:space="0" w:color="666666"/>
            </w:tcBorders>
            <w:tcMar>
              <w:bottom w:w="34" w:type="dxa"/>
            </w:tcMar>
            <w:vAlign w:val="center"/>
          </w:tcPr>
          <w:p>
            <w:pPr>
              <w:pStyle w:val="TableContents"/>
              <w:bidi w:val="0"/>
              <w:spacing w:lineRule="atLeast" w:line="255" w:before="0" w:after="0"/>
              <w:jc w:val="left"/>
              <w:rPr/>
            </w:pPr>
            <w:r>
              <w:rPr>
                <w:b/>
                <w:spacing w:val="0"/>
              </w:rPr>
              <w:t>Joseph J. Corasanti</w:t>
            </w:r>
            <w:r>
              <w:rPr>
                <w:spacing w:val="-1"/>
              </w:rPr>
              <w:t xml:space="preserve"> </w:t>
              <w:br/>
              <w:t xml:space="preserve">Independent Director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03"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57" descr=""/>
                          <pic:cNvPicPr>
                            <a:picLocks noChangeAspect="1" noChangeArrowheads="1"/>
                          </pic:cNvPicPr>
                        </pic:nvPicPr>
                        <pic:blipFill>
                          <a:blip r:embed="rId67"/>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04"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8" descr=""/>
                          <pic:cNvPicPr>
                            <a:picLocks noChangeAspect="1" noChangeArrowheads="1"/>
                          </pic:cNvPicPr>
                        </pic:nvPicPr>
                        <pic:blipFill>
                          <a:blip r:embed="rId68"/>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0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59" descr=""/>
                          <pic:cNvPicPr>
                            <a:picLocks noChangeAspect="1" noChangeArrowheads="1"/>
                          </pic:cNvPicPr>
                        </pic:nvPicPr>
                        <pic:blipFill>
                          <a:blip r:embed="rId69"/>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06"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60" descr=""/>
                          <pic:cNvPicPr>
                            <a:picLocks noChangeAspect="1" noChangeArrowheads="1"/>
                          </pic:cNvPicPr>
                        </pic:nvPicPr>
                        <pic:blipFill>
                          <a:blip r:embed="rId70"/>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07"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61" descr=""/>
                          <pic:cNvPicPr>
                            <a:picLocks noChangeAspect="1" noChangeArrowheads="1"/>
                          </pic:cNvPicPr>
                        </pic:nvPicPr>
                        <pic:blipFill>
                          <a:blip r:embed="rId71"/>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08"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62" descr=""/>
                          <pic:cNvPicPr>
                            <a:picLocks noChangeAspect="1" noChangeArrowheads="1"/>
                          </pic:cNvPicPr>
                        </pic:nvPicPr>
                        <pic:blipFill>
                          <a:blip r:embed="rId72"/>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09"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63" descr=""/>
                          <pic:cNvPicPr>
                            <a:picLocks noChangeAspect="1" noChangeArrowheads="1"/>
                          </pic:cNvPicPr>
                        </pic:nvPicPr>
                        <pic:blipFill>
                          <a:blip r:embed="rId73"/>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1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64" descr=""/>
                          <pic:cNvPicPr>
                            <a:picLocks noChangeAspect="1" noChangeArrowheads="1"/>
                          </pic:cNvPicPr>
                        </pic:nvPicPr>
                        <pic:blipFill>
                          <a:blip r:embed="rId74"/>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11"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65" descr=""/>
                          <pic:cNvPicPr>
                            <a:picLocks noChangeAspect="1" noChangeArrowheads="1"/>
                          </pic:cNvPicPr>
                        </pic:nvPicPr>
                        <pic:blipFill>
                          <a:blip r:embed="rId75"/>
                          <a:stretch>
                            <a:fillRect/>
                          </a:stretch>
                        </pic:blipFill>
                        <pic:spPr bwMode="auto">
                          <a:xfrm>
                            <a:off x="0" y="0"/>
                            <a:ext cx="104775" cy="104775"/>
                          </a:xfrm>
                          <a:prstGeom prst="rect">
                            <a:avLst/>
                          </a:prstGeom>
                        </pic:spPr>
                      </pic:pic>
                    </a:graphicData>
                  </a:graphic>
                </wp:inline>
              </w:drawing>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366" w:type="dxa"/>
            <w:tcBorders>
              <w:bottom w:val="single" w:sz="2" w:space="0" w:color="666666"/>
            </w:tcBorders>
            <w:tcMar>
              <w:bottom w:w="34" w:type="dxa"/>
            </w:tcMar>
            <w:vAlign w:val="center"/>
          </w:tcPr>
          <w:p>
            <w:pPr>
              <w:pStyle w:val="TableContents"/>
              <w:bidi w:val="0"/>
              <w:spacing w:lineRule="atLeast" w:line="255" w:before="0" w:after="0"/>
              <w:jc w:val="left"/>
              <w:rPr/>
            </w:pPr>
            <w:r>
              <w:rPr>
                <w:b/>
                <w:spacing w:val="0"/>
              </w:rPr>
              <w:t>Enrico DiGirolamo</w:t>
            </w:r>
            <w:r>
              <w:rPr>
                <w:spacing w:val="-1"/>
              </w:rPr>
              <w:t xml:space="preserve"> </w:t>
              <w:br/>
              <w:t xml:space="preserve">Independent Board Chair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12"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66" descr=""/>
                          <pic:cNvPicPr>
                            <a:picLocks noChangeAspect="1" noChangeArrowheads="1"/>
                          </pic:cNvPicPr>
                        </pic:nvPicPr>
                        <pic:blipFill>
                          <a:blip r:embed="rId76"/>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13"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67" descr=""/>
                          <pic:cNvPicPr>
                            <a:picLocks noChangeAspect="1" noChangeArrowheads="1"/>
                          </pic:cNvPicPr>
                        </pic:nvPicPr>
                        <pic:blipFill>
                          <a:blip r:embed="rId77"/>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1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68" descr=""/>
                          <pic:cNvPicPr>
                            <a:picLocks noChangeAspect="1" noChangeArrowheads="1"/>
                          </pic:cNvPicPr>
                        </pic:nvPicPr>
                        <pic:blipFill>
                          <a:blip r:embed="rId78"/>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15"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69" descr=""/>
                          <pic:cNvPicPr>
                            <a:picLocks noChangeAspect="1" noChangeArrowheads="1"/>
                          </pic:cNvPicPr>
                        </pic:nvPicPr>
                        <pic:blipFill>
                          <a:blip r:embed="rId79"/>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16"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70" descr=""/>
                          <pic:cNvPicPr>
                            <a:picLocks noChangeAspect="1" noChangeArrowheads="1"/>
                          </pic:cNvPicPr>
                        </pic:nvPicPr>
                        <pic:blipFill>
                          <a:blip r:embed="rId80"/>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17"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71" descr=""/>
                          <pic:cNvPicPr>
                            <a:picLocks noChangeAspect="1" noChangeArrowheads="1"/>
                          </pic:cNvPicPr>
                        </pic:nvPicPr>
                        <pic:blipFill>
                          <a:blip r:embed="rId81"/>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18"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72" descr=""/>
                          <pic:cNvPicPr>
                            <a:picLocks noChangeAspect="1" noChangeArrowheads="1"/>
                          </pic:cNvPicPr>
                        </pic:nvPicPr>
                        <pic:blipFill>
                          <a:blip r:embed="rId82"/>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19"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73" descr=""/>
                          <pic:cNvPicPr>
                            <a:picLocks noChangeAspect="1" noChangeArrowheads="1"/>
                          </pic:cNvPicPr>
                        </pic:nvPicPr>
                        <pic:blipFill>
                          <a:blip r:embed="rId83"/>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20"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74" descr=""/>
                          <pic:cNvPicPr>
                            <a:picLocks noChangeAspect="1" noChangeArrowheads="1"/>
                          </pic:cNvPicPr>
                        </pic:nvPicPr>
                        <pic:blipFill>
                          <a:blip r:embed="rId84"/>
                          <a:stretch>
                            <a:fillRect/>
                          </a:stretch>
                        </pic:blipFill>
                        <pic:spPr bwMode="auto">
                          <a:xfrm>
                            <a:off x="0" y="0"/>
                            <a:ext cx="104775" cy="104775"/>
                          </a:xfrm>
                          <a:prstGeom prst="rect">
                            <a:avLst/>
                          </a:prstGeom>
                        </pic:spPr>
                      </pic:pic>
                    </a:graphicData>
                  </a:graphic>
                </wp:inline>
              </w:drawing>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366" w:type="dxa"/>
            <w:tcBorders>
              <w:bottom w:val="single" w:sz="2" w:space="0" w:color="666666"/>
            </w:tcBorders>
            <w:tcMar>
              <w:bottom w:w="34" w:type="dxa"/>
            </w:tcMar>
            <w:vAlign w:val="center"/>
          </w:tcPr>
          <w:p>
            <w:pPr>
              <w:pStyle w:val="TableContents"/>
              <w:bidi w:val="0"/>
              <w:spacing w:lineRule="atLeast" w:line="255" w:before="0" w:after="0"/>
              <w:jc w:val="left"/>
              <w:rPr/>
            </w:pPr>
            <w:r>
              <w:rPr>
                <w:b/>
                <w:spacing w:val="0"/>
              </w:rPr>
              <w:t>Michael L. Dreyer</w:t>
            </w:r>
            <w:r>
              <w:rPr>
                <w:spacing w:val="-1"/>
              </w:rPr>
              <w:t xml:space="preserve"> </w:t>
              <w:br/>
              <w:t xml:space="preserve">Independent Director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21"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75" descr=""/>
                          <pic:cNvPicPr>
                            <a:picLocks noChangeAspect="1" noChangeArrowheads="1"/>
                          </pic:cNvPicPr>
                        </pic:nvPicPr>
                        <pic:blipFill>
                          <a:blip r:embed="rId85"/>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22"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76" descr=""/>
                          <pic:cNvPicPr>
                            <a:picLocks noChangeAspect="1" noChangeArrowheads="1"/>
                          </pic:cNvPicPr>
                        </pic:nvPicPr>
                        <pic:blipFill>
                          <a:blip r:embed="rId86"/>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23"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77" descr=""/>
                          <pic:cNvPicPr>
                            <a:picLocks noChangeAspect="1" noChangeArrowheads="1"/>
                          </pic:cNvPicPr>
                        </pic:nvPicPr>
                        <pic:blipFill>
                          <a:blip r:embed="rId87"/>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24"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78" descr=""/>
                          <pic:cNvPicPr>
                            <a:picLocks noChangeAspect="1" noChangeArrowheads="1"/>
                          </pic:cNvPicPr>
                        </pic:nvPicPr>
                        <pic:blipFill>
                          <a:blip r:embed="rId88"/>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25"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79" descr=""/>
                          <pic:cNvPicPr>
                            <a:picLocks noChangeAspect="1" noChangeArrowheads="1"/>
                          </pic:cNvPicPr>
                        </pic:nvPicPr>
                        <pic:blipFill>
                          <a:blip r:embed="rId89"/>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26"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80" descr=""/>
                          <pic:cNvPicPr>
                            <a:picLocks noChangeAspect="1" noChangeArrowheads="1"/>
                          </pic:cNvPicPr>
                        </pic:nvPicPr>
                        <pic:blipFill>
                          <a:blip r:embed="rId90"/>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27"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81" descr=""/>
                          <pic:cNvPicPr>
                            <a:picLocks noChangeAspect="1" noChangeArrowheads="1"/>
                          </pic:cNvPicPr>
                        </pic:nvPicPr>
                        <pic:blipFill>
                          <a:blip r:embed="rId91"/>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28"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82" descr=""/>
                          <pic:cNvPicPr>
                            <a:picLocks noChangeAspect="1" noChangeArrowheads="1"/>
                          </pic:cNvPicPr>
                        </pic:nvPicPr>
                        <pic:blipFill>
                          <a:blip r:embed="rId92"/>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29"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83" descr=""/>
                          <pic:cNvPicPr>
                            <a:picLocks noChangeAspect="1" noChangeArrowheads="1"/>
                          </pic:cNvPicPr>
                        </pic:nvPicPr>
                        <pic:blipFill>
                          <a:blip r:embed="rId93"/>
                          <a:stretch>
                            <a:fillRect/>
                          </a:stretch>
                        </pic:blipFill>
                        <pic:spPr bwMode="auto">
                          <a:xfrm>
                            <a:off x="0" y="0"/>
                            <a:ext cx="104775" cy="104775"/>
                          </a:xfrm>
                          <a:prstGeom prst="rect">
                            <a:avLst/>
                          </a:prstGeom>
                        </pic:spPr>
                      </pic:pic>
                    </a:graphicData>
                  </a:graphic>
                </wp:inline>
              </w:drawing>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366" w:type="dxa"/>
            <w:tcBorders>
              <w:bottom w:val="single" w:sz="2" w:space="0" w:color="666666"/>
            </w:tcBorders>
            <w:tcMar>
              <w:bottom w:w="34" w:type="dxa"/>
            </w:tcMar>
            <w:vAlign w:val="center"/>
          </w:tcPr>
          <w:p>
            <w:pPr>
              <w:pStyle w:val="TableContents"/>
              <w:bidi w:val="0"/>
              <w:spacing w:lineRule="atLeast" w:line="255" w:before="0" w:after="0"/>
              <w:jc w:val="left"/>
              <w:rPr/>
            </w:pPr>
            <w:r>
              <w:rPr>
                <w:b/>
                <w:spacing w:val="0"/>
              </w:rPr>
              <w:t>Lisa Neal-Graves</w:t>
            </w:r>
            <w:r>
              <w:rPr>
                <w:spacing w:val="-1"/>
              </w:rPr>
              <w:t xml:space="preserve"> </w:t>
              <w:br/>
              <w:t xml:space="preserve">Independent Director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30"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84" descr=""/>
                          <pic:cNvPicPr>
                            <a:picLocks noChangeAspect="1" noChangeArrowheads="1"/>
                          </pic:cNvPicPr>
                        </pic:nvPicPr>
                        <pic:blipFill>
                          <a:blip r:embed="rId94"/>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31"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85" descr=""/>
                          <pic:cNvPicPr>
                            <a:picLocks noChangeAspect="1" noChangeArrowheads="1"/>
                          </pic:cNvPicPr>
                        </pic:nvPicPr>
                        <pic:blipFill>
                          <a:blip r:embed="rId95"/>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32"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86" descr=""/>
                          <pic:cNvPicPr>
                            <a:picLocks noChangeAspect="1" noChangeArrowheads="1"/>
                          </pic:cNvPicPr>
                        </pic:nvPicPr>
                        <pic:blipFill>
                          <a:blip r:embed="rId96"/>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33"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87" descr=""/>
                          <pic:cNvPicPr>
                            <a:picLocks noChangeAspect="1" noChangeArrowheads="1"/>
                          </pic:cNvPicPr>
                        </pic:nvPicPr>
                        <pic:blipFill>
                          <a:blip r:embed="rId97"/>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34"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88" descr=""/>
                          <pic:cNvPicPr>
                            <a:picLocks noChangeAspect="1" noChangeArrowheads="1"/>
                          </pic:cNvPicPr>
                        </pic:nvPicPr>
                        <pic:blipFill>
                          <a:blip r:embed="rId98"/>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35"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89" descr=""/>
                          <pic:cNvPicPr>
                            <a:picLocks noChangeAspect="1" noChangeArrowheads="1"/>
                          </pic:cNvPicPr>
                        </pic:nvPicPr>
                        <pic:blipFill>
                          <a:blip r:embed="rId99"/>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36"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90" descr=""/>
                          <pic:cNvPicPr>
                            <a:picLocks noChangeAspect="1" noChangeArrowheads="1"/>
                          </pic:cNvPicPr>
                        </pic:nvPicPr>
                        <pic:blipFill>
                          <a:blip r:embed="rId100"/>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37"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91" descr=""/>
                          <pic:cNvPicPr>
                            <a:picLocks noChangeAspect="1" noChangeArrowheads="1"/>
                          </pic:cNvPicPr>
                        </pic:nvPicPr>
                        <pic:blipFill>
                          <a:blip r:embed="rId101"/>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38"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92" descr=""/>
                          <pic:cNvPicPr>
                            <a:picLocks noChangeAspect="1" noChangeArrowheads="1"/>
                          </pic:cNvPicPr>
                        </pic:nvPicPr>
                        <pic:blipFill>
                          <a:blip r:embed="rId102"/>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39"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93" descr=""/>
                          <pic:cNvPicPr>
                            <a:picLocks noChangeAspect="1" noChangeArrowheads="1"/>
                          </pic:cNvPicPr>
                        </pic:nvPicPr>
                        <pic:blipFill>
                          <a:blip r:embed="rId103"/>
                          <a:stretch>
                            <a:fillRect/>
                          </a:stretch>
                        </pic:blipFill>
                        <pic:spPr bwMode="auto">
                          <a:xfrm>
                            <a:off x="0" y="0"/>
                            <a:ext cx="104775" cy="104775"/>
                          </a:xfrm>
                          <a:prstGeom prst="rect">
                            <a:avLst/>
                          </a:prstGeom>
                        </pic:spPr>
                      </pic:pic>
                    </a:graphicData>
                  </a:graphic>
                </wp:inline>
              </w:drawing>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366" w:type="dxa"/>
            <w:tcBorders>
              <w:bottom w:val="single" w:sz="2" w:space="0" w:color="666666"/>
            </w:tcBorders>
            <w:tcMar>
              <w:bottom w:w="34" w:type="dxa"/>
            </w:tcMar>
            <w:vAlign w:val="center"/>
          </w:tcPr>
          <w:p>
            <w:pPr>
              <w:pStyle w:val="TableContents"/>
              <w:bidi w:val="0"/>
              <w:spacing w:lineRule="atLeast" w:line="255" w:before="0" w:after="0"/>
              <w:jc w:val="left"/>
              <w:rPr/>
            </w:pPr>
            <w:r>
              <w:rPr>
                <w:b/>
                <w:spacing w:val="0"/>
              </w:rPr>
              <w:t>Patricia Hatter</w:t>
            </w:r>
            <w:r>
              <w:rPr>
                <w:spacing w:val="-1"/>
              </w:rPr>
              <w:t xml:space="preserve"> </w:t>
              <w:br/>
              <w:t xml:space="preserve">Independent Director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40"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94" descr=""/>
                          <pic:cNvPicPr>
                            <a:picLocks noChangeAspect="1" noChangeArrowheads="1"/>
                          </pic:cNvPicPr>
                        </pic:nvPicPr>
                        <pic:blipFill>
                          <a:blip r:embed="rId104"/>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41"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95" descr=""/>
                          <pic:cNvPicPr>
                            <a:picLocks noChangeAspect="1" noChangeArrowheads="1"/>
                          </pic:cNvPicPr>
                        </pic:nvPicPr>
                        <pic:blipFill>
                          <a:blip r:embed="rId105"/>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42"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96" descr=""/>
                          <pic:cNvPicPr>
                            <a:picLocks noChangeAspect="1" noChangeArrowheads="1"/>
                          </pic:cNvPicPr>
                        </pic:nvPicPr>
                        <pic:blipFill>
                          <a:blip r:embed="rId106"/>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43"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97" descr=""/>
                          <pic:cNvPicPr>
                            <a:picLocks noChangeAspect="1" noChangeArrowheads="1"/>
                          </pic:cNvPicPr>
                        </pic:nvPicPr>
                        <pic:blipFill>
                          <a:blip r:embed="rId107"/>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44"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98" descr=""/>
                          <pic:cNvPicPr>
                            <a:picLocks noChangeAspect="1" noChangeArrowheads="1"/>
                          </pic:cNvPicPr>
                        </pic:nvPicPr>
                        <pic:blipFill>
                          <a:blip r:embed="rId108"/>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45"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99" descr=""/>
                          <pic:cNvPicPr>
                            <a:picLocks noChangeAspect="1" noChangeArrowheads="1"/>
                          </pic:cNvPicPr>
                        </pic:nvPicPr>
                        <pic:blipFill>
                          <a:blip r:embed="rId109"/>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46"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00" descr=""/>
                          <pic:cNvPicPr>
                            <a:picLocks noChangeAspect="1" noChangeArrowheads="1"/>
                          </pic:cNvPicPr>
                        </pic:nvPicPr>
                        <pic:blipFill>
                          <a:blip r:embed="rId110"/>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47"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01" descr=""/>
                          <pic:cNvPicPr>
                            <a:picLocks noChangeAspect="1" noChangeArrowheads="1"/>
                          </pic:cNvPicPr>
                        </pic:nvPicPr>
                        <pic:blipFill>
                          <a:blip r:embed="rId111"/>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48"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02" descr=""/>
                          <pic:cNvPicPr>
                            <a:picLocks noChangeAspect="1" noChangeArrowheads="1"/>
                          </pic:cNvPicPr>
                        </pic:nvPicPr>
                        <pic:blipFill>
                          <a:blip r:embed="rId112"/>
                          <a:stretch>
                            <a:fillRect/>
                          </a:stretch>
                        </pic:blipFill>
                        <pic:spPr bwMode="auto">
                          <a:xfrm>
                            <a:off x="0" y="0"/>
                            <a:ext cx="104775" cy="104775"/>
                          </a:xfrm>
                          <a:prstGeom prst="rect">
                            <a:avLst/>
                          </a:prstGeom>
                        </pic:spPr>
                      </pic:pic>
                    </a:graphicData>
                  </a:graphic>
                </wp:inline>
              </w:drawing>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366" w:type="dxa"/>
            <w:tcBorders>
              <w:bottom w:val="single" w:sz="2" w:space="0" w:color="666666"/>
            </w:tcBorders>
            <w:tcMar>
              <w:bottom w:w="34" w:type="dxa"/>
            </w:tcMar>
            <w:vAlign w:val="center"/>
          </w:tcPr>
          <w:p>
            <w:pPr>
              <w:pStyle w:val="TableContents"/>
              <w:bidi w:val="0"/>
              <w:spacing w:lineRule="atLeast" w:line="255" w:before="0" w:after="0"/>
              <w:jc w:val="left"/>
              <w:rPr/>
            </w:pPr>
            <w:r>
              <w:rPr>
                <w:b/>
                <w:spacing w:val="0"/>
              </w:rPr>
              <w:t>David L. Motley</w:t>
            </w:r>
            <w:r>
              <w:rPr>
                <w:spacing w:val="-1"/>
              </w:rPr>
              <w:t xml:space="preserve"> </w:t>
              <w:br/>
              <w:t xml:space="preserve">Independent Director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49"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03" descr=""/>
                          <pic:cNvPicPr>
                            <a:picLocks noChangeAspect="1" noChangeArrowheads="1"/>
                          </pic:cNvPicPr>
                        </pic:nvPicPr>
                        <pic:blipFill>
                          <a:blip r:embed="rId113"/>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50"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04" descr=""/>
                          <pic:cNvPicPr>
                            <a:picLocks noChangeAspect="1" noChangeArrowheads="1"/>
                          </pic:cNvPicPr>
                        </pic:nvPicPr>
                        <pic:blipFill>
                          <a:blip r:embed="rId114"/>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51"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05" descr=""/>
                          <pic:cNvPicPr>
                            <a:picLocks noChangeAspect="1" noChangeArrowheads="1"/>
                          </pic:cNvPicPr>
                        </pic:nvPicPr>
                        <pic:blipFill>
                          <a:blip r:embed="rId115"/>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52"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06" descr=""/>
                          <pic:cNvPicPr>
                            <a:picLocks noChangeAspect="1" noChangeArrowheads="1"/>
                          </pic:cNvPicPr>
                        </pic:nvPicPr>
                        <pic:blipFill>
                          <a:blip r:embed="rId116"/>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53"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07" descr=""/>
                          <pic:cNvPicPr>
                            <a:picLocks noChangeAspect="1" noChangeArrowheads="1"/>
                          </pic:cNvPicPr>
                        </pic:nvPicPr>
                        <pic:blipFill>
                          <a:blip r:embed="rId117"/>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54"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08" descr=""/>
                          <pic:cNvPicPr>
                            <a:picLocks noChangeAspect="1" noChangeArrowheads="1"/>
                          </pic:cNvPicPr>
                        </pic:nvPicPr>
                        <pic:blipFill>
                          <a:blip r:embed="rId118"/>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55"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09" descr=""/>
                          <pic:cNvPicPr>
                            <a:picLocks noChangeAspect="1" noChangeArrowheads="1"/>
                          </pic:cNvPicPr>
                        </pic:nvPicPr>
                        <pic:blipFill>
                          <a:blip r:embed="rId119"/>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56"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10" descr=""/>
                          <pic:cNvPicPr>
                            <a:picLocks noChangeAspect="1" noChangeArrowheads="1"/>
                          </pic:cNvPicPr>
                        </pic:nvPicPr>
                        <pic:blipFill>
                          <a:blip r:embed="rId120"/>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57"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11" descr=""/>
                          <pic:cNvPicPr>
                            <a:picLocks noChangeAspect="1" noChangeArrowheads="1"/>
                          </pic:cNvPicPr>
                        </pic:nvPicPr>
                        <pic:blipFill>
                          <a:blip r:embed="rId121"/>
                          <a:stretch>
                            <a:fillRect/>
                          </a:stretch>
                        </pic:blipFill>
                        <pic:spPr bwMode="auto">
                          <a:xfrm>
                            <a:off x="0" y="0"/>
                            <a:ext cx="104775" cy="104775"/>
                          </a:xfrm>
                          <a:prstGeom prst="rect">
                            <a:avLst/>
                          </a:prstGeom>
                        </pic:spPr>
                      </pic:pic>
                    </a:graphicData>
                  </a:graphic>
                </wp:inline>
              </w:drawing>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366" w:type="dxa"/>
            <w:tcBorders>
              <w:bottom w:val="single" w:sz="2" w:space="0" w:color="666666"/>
            </w:tcBorders>
            <w:tcMar>
              <w:bottom w:w="34" w:type="dxa"/>
            </w:tcMar>
            <w:vAlign w:val="center"/>
          </w:tcPr>
          <w:p>
            <w:pPr>
              <w:pStyle w:val="TableContents"/>
              <w:bidi w:val="0"/>
              <w:spacing w:lineRule="atLeast" w:line="255" w:before="0" w:after="0"/>
              <w:jc w:val="left"/>
              <w:rPr/>
            </w:pPr>
            <w:r>
              <w:rPr>
                <w:b/>
                <w:spacing w:val="0"/>
              </w:rPr>
              <w:t>Stephen Pagliuca</w:t>
            </w:r>
            <w:r>
              <w:rPr>
                <w:spacing w:val="-1"/>
              </w:rPr>
              <w:t xml:space="preserve"> </w:t>
              <w:br/>
              <w:t xml:space="preserve">Independent Director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58"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12" descr=""/>
                          <pic:cNvPicPr>
                            <a:picLocks noChangeAspect="1" noChangeArrowheads="1"/>
                          </pic:cNvPicPr>
                        </pic:nvPicPr>
                        <pic:blipFill>
                          <a:blip r:embed="rId122"/>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59"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13" descr=""/>
                          <pic:cNvPicPr>
                            <a:picLocks noChangeAspect="1" noChangeArrowheads="1"/>
                          </pic:cNvPicPr>
                        </pic:nvPicPr>
                        <pic:blipFill>
                          <a:blip r:embed="rId123"/>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60"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14" descr=""/>
                          <pic:cNvPicPr>
                            <a:picLocks noChangeAspect="1" noChangeArrowheads="1"/>
                          </pic:cNvPicPr>
                        </pic:nvPicPr>
                        <pic:blipFill>
                          <a:blip r:embed="rId124"/>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61"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15" descr=""/>
                          <pic:cNvPicPr>
                            <a:picLocks noChangeAspect="1" noChangeArrowheads="1"/>
                          </pic:cNvPicPr>
                        </pic:nvPicPr>
                        <pic:blipFill>
                          <a:blip r:embed="rId125"/>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62"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16" descr=""/>
                          <pic:cNvPicPr>
                            <a:picLocks noChangeAspect="1" noChangeArrowheads="1"/>
                          </pic:cNvPicPr>
                        </pic:nvPicPr>
                        <pic:blipFill>
                          <a:blip r:embed="rId126"/>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63"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17" descr=""/>
                          <pic:cNvPicPr>
                            <a:picLocks noChangeAspect="1" noChangeArrowheads="1"/>
                          </pic:cNvPicPr>
                        </pic:nvPicPr>
                        <pic:blipFill>
                          <a:blip r:embed="rId127"/>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64"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18" descr=""/>
                          <pic:cNvPicPr>
                            <a:picLocks noChangeAspect="1" noChangeArrowheads="1"/>
                          </pic:cNvPicPr>
                        </pic:nvPicPr>
                        <pic:blipFill>
                          <a:blip r:embed="rId128"/>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65"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19" descr=""/>
                          <pic:cNvPicPr>
                            <a:picLocks noChangeAspect="1" noChangeArrowheads="1"/>
                          </pic:cNvPicPr>
                        </pic:nvPicPr>
                        <pic:blipFill>
                          <a:blip r:embed="rId129"/>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66"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20" descr=""/>
                          <pic:cNvPicPr>
                            <a:picLocks noChangeAspect="1" noChangeArrowheads="1"/>
                          </pic:cNvPicPr>
                        </pic:nvPicPr>
                        <pic:blipFill>
                          <a:blip r:embed="rId130"/>
                          <a:stretch>
                            <a:fillRect/>
                          </a:stretch>
                        </pic:blipFill>
                        <pic:spPr bwMode="auto">
                          <a:xfrm>
                            <a:off x="0" y="0"/>
                            <a:ext cx="104775" cy="104775"/>
                          </a:xfrm>
                          <a:prstGeom prst="rect">
                            <a:avLst/>
                          </a:prstGeom>
                        </pic:spPr>
                      </pic:pic>
                    </a:graphicData>
                  </a:graphic>
                </wp:inline>
              </w:drawing>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366" w:type="dxa"/>
            <w:tcBorders>
              <w:bottom w:val="single" w:sz="2" w:space="0" w:color="666666"/>
            </w:tcBorders>
            <w:tcMar>
              <w:bottom w:w="34" w:type="dxa"/>
            </w:tcMar>
            <w:vAlign w:val="center"/>
          </w:tcPr>
          <w:p>
            <w:pPr>
              <w:pStyle w:val="TableContents"/>
              <w:bidi w:val="0"/>
              <w:spacing w:lineRule="atLeast" w:line="255" w:before="0" w:after="0"/>
              <w:jc w:val="left"/>
              <w:rPr/>
            </w:pPr>
            <w:r>
              <w:rPr>
                <w:b/>
                <w:spacing w:val="0"/>
              </w:rPr>
              <w:t>Elizabeth A. Patrick</w:t>
            </w:r>
            <w:r>
              <w:rPr>
                <w:spacing w:val="-1"/>
              </w:rPr>
              <w:t xml:space="preserve"> </w:t>
              <w:br/>
              <w:t xml:space="preserve">Independent Director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67"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21" descr=""/>
                          <pic:cNvPicPr>
                            <a:picLocks noChangeAspect="1" noChangeArrowheads="1"/>
                          </pic:cNvPicPr>
                        </pic:nvPicPr>
                        <pic:blipFill>
                          <a:blip r:embed="rId131"/>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68"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22" descr=""/>
                          <pic:cNvPicPr>
                            <a:picLocks noChangeAspect="1" noChangeArrowheads="1"/>
                          </pic:cNvPicPr>
                        </pic:nvPicPr>
                        <pic:blipFill>
                          <a:blip r:embed="rId132"/>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69"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23" descr=""/>
                          <pic:cNvPicPr>
                            <a:picLocks noChangeAspect="1" noChangeArrowheads="1"/>
                          </pic:cNvPicPr>
                        </pic:nvPicPr>
                        <pic:blipFill>
                          <a:blip r:embed="rId133"/>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70"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24" descr=""/>
                          <pic:cNvPicPr>
                            <a:picLocks noChangeAspect="1" noChangeArrowheads="1"/>
                          </pic:cNvPicPr>
                        </pic:nvPicPr>
                        <pic:blipFill>
                          <a:blip r:embed="rId134"/>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71"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25" descr=""/>
                          <pic:cNvPicPr>
                            <a:picLocks noChangeAspect="1" noChangeArrowheads="1"/>
                          </pic:cNvPicPr>
                        </pic:nvPicPr>
                        <pic:blipFill>
                          <a:blip r:embed="rId135"/>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72"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26" descr=""/>
                          <pic:cNvPicPr>
                            <a:picLocks noChangeAspect="1" noChangeArrowheads="1"/>
                          </pic:cNvPicPr>
                        </pic:nvPicPr>
                        <pic:blipFill>
                          <a:blip r:embed="rId136"/>
                          <a:stretch>
                            <a:fillRect/>
                          </a:stretch>
                        </pic:blipFill>
                        <pic:spPr bwMode="auto">
                          <a:xfrm>
                            <a:off x="0" y="0"/>
                            <a:ext cx="104775" cy="104775"/>
                          </a:xfrm>
                          <a:prstGeom prst="rect">
                            <a:avLst/>
                          </a:prstGeom>
                        </pic:spPr>
                      </pic:pic>
                    </a:graphicData>
                  </a:graphic>
                </wp:inline>
              </w:drawing>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366" w:type="dxa"/>
            <w:tcBorders>
              <w:bottom w:val="single" w:sz="2" w:space="0" w:color="666666"/>
            </w:tcBorders>
            <w:tcMar>
              <w:bottom w:w="34" w:type="dxa"/>
            </w:tcMar>
            <w:vAlign w:val="center"/>
          </w:tcPr>
          <w:p>
            <w:pPr>
              <w:pStyle w:val="TableContents"/>
              <w:bidi w:val="0"/>
              <w:spacing w:lineRule="atLeast" w:line="255" w:before="0" w:after="0"/>
              <w:jc w:val="left"/>
              <w:rPr/>
            </w:pPr>
            <w:r>
              <w:rPr>
                <w:b/>
                <w:spacing w:val="0"/>
              </w:rPr>
              <w:t>Shaker Sadasivam</w:t>
            </w:r>
            <w:r>
              <w:rPr>
                <w:spacing w:val="-1"/>
              </w:rPr>
              <w:t xml:space="preserve"> </w:t>
              <w:br/>
              <w:t xml:space="preserve">Independent Director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73"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27" descr=""/>
                          <pic:cNvPicPr>
                            <a:picLocks noChangeAspect="1" noChangeArrowheads="1"/>
                          </pic:cNvPicPr>
                        </pic:nvPicPr>
                        <pic:blipFill>
                          <a:blip r:embed="rId137"/>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74"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28" descr=""/>
                          <pic:cNvPicPr>
                            <a:picLocks noChangeAspect="1" noChangeArrowheads="1"/>
                          </pic:cNvPicPr>
                        </pic:nvPicPr>
                        <pic:blipFill>
                          <a:blip r:embed="rId138"/>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75"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29" descr=""/>
                          <pic:cNvPicPr>
                            <a:picLocks noChangeAspect="1" noChangeArrowheads="1"/>
                          </pic:cNvPicPr>
                        </pic:nvPicPr>
                        <pic:blipFill>
                          <a:blip r:embed="rId139"/>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76"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30" descr=""/>
                          <pic:cNvPicPr>
                            <a:picLocks noChangeAspect="1" noChangeArrowheads="1"/>
                          </pic:cNvPicPr>
                        </pic:nvPicPr>
                        <pic:blipFill>
                          <a:blip r:embed="rId140"/>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77"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31" descr=""/>
                          <pic:cNvPicPr>
                            <a:picLocks noChangeAspect="1" noChangeArrowheads="1"/>
                          </pic:cNvPicPr>
                        </pic:nvPicPr>
                        <pic:blipFill>
                          <a:blip r:embed="rId141"/>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78"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32" descr=""/>
                          <pic:cNvPicPr>
                            <a:picLocks noChangeAspect="1" noChangeArrowheads="1"/>
                          </pic:cNvPicPr>
                        </pic:nvPicPr>
                        <pic:blipFill>
                          <a:blip r:embed="rId142"/>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79"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33" descr=""/>
                          <pic:cNvPicPr>
                            <a:picLocks noChangeAspect="1" noChangeArrowheads="1"/>
                          </pic:cNvPicPr>
                        </pic:nvPicPr>
                        <pic:blipFill>
                          <a:blip r:embed="rId143"/>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80"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34" descr=""/>
                          <pic:cNvPicPr>
                            <a:picLocks noChangeAspect="1" noChangeArrowheads="1"/>
                          </pic:cNvPicPr>
                        </pic:nvPicPr>
                        <pic:blipFill>
                          <a:blip r:embed="rId144"/>
                          <a:stretch>
                            <a:fillRect/>
                          </a:stretch>
                        </pic:blipFill>
                        <pic:spPr bwMode="auto">
                          <a:xfrm>
                            <a:off x="0" y="0"/>
                            <a:ext cx="104775" cy="104775"/>
                          </a:xfrm>
                          <a:prstGeom prst="rect">
                            <a:avLst/>
                          </a:prstGeom>
                        </pic:spPr>
                      </pic:pic>
                    </a:graphicData>
                  </a:graphic>
                </wp:inline>
              </w:drawing>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366" w:type="dxa"/>
            <w:tcBorders>
              <w:bottom w:val="single" w:sz="2" w:space="0" w:color="666666"/>
            </w:tcBorders>
            <w:tcMar>
              <w:bottom w:w="34" w:type="dxa"/>
            </w:tcMar>
            <w:vAlign w:val="center"/>
          </w:tcPr>
          <w:p>
            <w:pPr>
              <w:pStyle w:val="TableContents"/>
              <w:bidi w:val="0"/>
              <w:spacing w:lineRule="atLeast" w:line="255" w:before="0" w:after="0"/>
              <w:jc w:val="left"/>
              <w:rPr/>
            </w:pPr>
            <w:r>
              <w:rPr>
                <w:b/>
                <w:spacing w:val="0"/>
              </w:rPr>
              <w:t>Stephen A. Skaggs</w:t>
            </w:r>
            <w:r>
              <w:rPr>
                <w:spacing w:val="-1"/>
              </w:rPr>
              <w:t xml:space="preserve"> </w:t>
              <w:br/>
              <w:t xml:space="preserve">Independent Director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81"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35" descr=""/>
                          <pic:cNvPicPr>
                            <a:picLocks noChangeAspect="1" noChangeArrowheads="1"/>
                          </pic:cNvPicPr>
                        </pic:nvPicPr>
                        <pic:blipFill>
                          <a:blip r:embed="rId145"/>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82"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36" descr=""/>
                          <pic:cNvPicPr>
                            <a:picLocks noChangeAspect="1" noChangeArrowheads="1"/>
                          </pic:cNvPicPr>
                        </pic:nvPicPr>
                        <pic:blipFill>
                          <a:blip r:embed="rId146"/>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83"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37" descr=""/>
                          <pic:cNvPicPr>
                            <a:picLocks noChangeAspect="1" noChangeArrowheads="1"/>
                          </pic:cNvPicPr>
                        </pic:nvPicPr>
                        <pic:blipFill>
                          <a:blip r:embed="rId147"/>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84"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38" descr=""/>
                          <pic:cNvPicPr>
                            <a:picLocks noChangeAspect="1" noChangeArrowheads="1"/>
                          </pic:cNvPicPr>
                        </pic:nvPicPr>
                        <pic:blipFill>
                          <a:blip r:embed="rId148"/>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85"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39" descr=""/>
                          <pic:cNvPicPr>
                            <a:picLocks noChangeAspect="1" noChangeArrowheads="1"/>
                          </pic:cNvPicPr>
                        </pic:nvPicPr>
                        <pic:blipFill>
                          <a:blip r:embed="rId149"/>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86"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40" descr=""/>
                          <pic:cNvPicPr>
                            <a:picLocks noChangeAspect="1" noChangeArrowheads="1"/>
                          </pic:cNvPicPr>
                        </pic:nvPicPr>
                        <pic:blipFill>
                          <a:blip r:embed="rId150"/>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87"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41" descr=""/>
                          <pic:cNvPicPr>
                            <a:picLocks noChangeAspect="1" noChangeArrowheads="1"/>
                          </pic:cNvPicPr>
                        </pic:nvPicPr>
                        <pic:blipFill>
                          <a:blip r:embed="rId151"/>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88"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42" descr=""/>
                          <pic:cNvPicPr>
                            <a:picLocks noChangeAspect="1" noChangeArrowheads="1"/>
                          </pic:cNvPicPr>
                        </pic:nvPicPr>
                        <pic:blipFill>
                          <a:blip r:embed="rId152"/>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89"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43" descr=""/>
                          <pic:cNvPicPr>
                            <a:picLocks noChangeAspect="1" noChangeArrowheads="1"/>
                          </pic:cNvPicPr>
                        </pic:nvPicPr>
                        <pic:blipFill>
                          <a:blip r:embed="rId153"/>
                          <a:stretch>
                            <a:fillRect/>
                          </a:stretch>
                        </pic:blipFill>
                        <pic:spPr bwMode="auto">
                          <a:xfrm>
                            <a:off x="0" y="0"/>
                            <a:ext cx="104775" cy="104775"/>
                          </a:xfrm>
                          <a:prstGeom prst="rect">
                            <a:avLst/>
                          </a:prstGeom>
                        </pic:spPr>
                      </pic:pic>
                    </a:graphicData>
                  </a:graphic>
                </wp:inline>
              </w:drawing>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366" w:type="dxa"/>
            <w:tcBorders>
              <w:bottom w:val="single" w:sz="2" w:space="0" w:color="666666"/>
            </w:tcBorders>
            <w:tcMar>
              <w:bottom w:w="34" w:type="dxa"/>
            </w:tcMar>
            <w:vAlign w:val="center"/>
          </w:tcPr>
          <w:p>
            <w:pPr>
              <w:pStyle w:val="TableContents"/>
              <w:bidi w:val="0"/>
              <w:spacing w:lineRule="atLeast" w:line="255" w:before="0" w:after="0"/>
              <w:jc w:val="left"/>
              <w:rPr/>
            </w:pPr>
            <w:r>
              <w:rPr>
                <w:b/>
                <w:spacing w:val="0"/>
              </w:rPr>
              <w:t>Michelle Sterling</w:t>
            </w:r>
            <w:r>
              <w:rPr>
                <w:spacing w:val="-1"/>
              </w:rPr>
              <w:t xml:space="preserve"> </w:t>
              <w:br/>
              <w:t xml:space="preserve">Independent Director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90"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44" descr=""/>
                          <pic:cNvPicPr>
                            <a:picLocks noChangeAspect="1" noChangeArrowheads="1"/>
                          </pic:cNvPicPr>
                        </pic:nvPicPr>
                        <pic:blipFill>
                          <a:blip r:embed="rId154"/>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91"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45" descr=""/>
                          <pic:cNvPicPr>
                            <a:picLocks noChangeAspect="1" noChangeArrowheads="1"/>
                          </pic:cNvPicPr>
                        </pic:nvPicPr>
                        <pic:blipFill>
                          <a:blip r:embed="rId155"/>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92"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46" descr=""/>
                          <pic:cNvPicPr>
                            <a:picLocks noChangeAspect="1" noChangeArrowheads="1"/>
                          </pic:cNvPicPr>
                        </pic:nvPicPr>
                        <pic:blipFill>
                          <a:blip r:embed="rId156"/>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93"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47" descr=""/>
                          <pic:cNvPicPr>
                            <a:picLocks noChangeAspect="1" noChangeArrowheads="1"/>
                          </pic:cNvPicPr>
                        </pic:nvPicPr>
                        <pic:blipFill>
                          <a:blip r:embed="rId157"/>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94"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48" descr=""/>
                          <pic:cNvPicPr>
                            <a:picLocks noChangeAspect="1" noChangeArrowheads="1"/>
                          </pic:cNvPicPr>
                        </pic:nvPicPr>
                        <pic:blipFill>
                          <a:blip r:embed="rId158"/>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95"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49" descr=""/>
                          <pic:cNvPicPr>
                            <a:picLocks noChangeAspect="1" noChangeArrowheads="1"/>
                          </pic:cNvPicPr>
                        </pic:nvPicPr>
                        <pic:blipFill>
                          <a:blip r:embed="rId159"/>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96"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50" descr=""/>
                          <pic:cNvPicPr>
                            <a:picLocks noChangeAspect="1" noChangeArrowheads="1"/>
                          </pic:cNvPicPr>
                        </pic:nvPicPr>
                        <pic:blipFill>
                          <a:blip r:embed="rId160"/>
                          <a:stretch>
                            <a:fillRect/>
                          </a:stretch>
                        </pic:blipFill>
                        <pic:spPr bwMode="auto">
                          <a:xfrm>
                            <a:off x="0" y="0"/>
                            <a:ext cx="104775" cy="104775"/>
                          </a:xfrm>
                          <a:prstGeom prst="rect">
                            <a:avLst/>
                          </a:prstGeom>
                        </pic:spPr>
                      </pic:pic>
                    </a:graphicData>
                  </a:graphic>
                </wp:inline>
              </w:drawing>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366" w:type="dxa"/>
            <w:tcBorders>
              <w:bottom w:val="single" w:sz="2" w:space="0" w:color="666666"/>
            </w:tcBorders>
            <w:tcMar>
              <w:bottom w:w="34" w:type="dxa"/>
            </w:tcMar>
            <w:vAlign w:val="center"/>
          </w:tcPr>
          <w:p>
            <w:pPr>
              <w:pStyle w:val="TableContents"/>
              <w:bidi w:val="0"/>
              <w:spacing w:lineRule="atLeast" w:line="255" w:before="0" w:after="0"/>
              <w:jc w:val="left"/>
              <w:rPr/>
            </w:pPr>
            <w:r>
              <w:rPr>
                <w:b/>
                <w:spacing w:val="0"/>
              </w:rPr>
              <w:t>Sandeep Vij</w:t>
            </w:r>
            <w:r>
              <w:rPr>
                <w:spacing w:val="-1"/>
              </w:rPr>
              <w:t xml:space="preserve"> </w:t>
              <w:br/>
              <w:t xml:space="preserve">Independent Director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97"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51" descr=""/>
                          <pic:cNvPicPr>
                            <a:picLocks noChangeAspect="1" noChangeArrowheads="1"/>
                          </pic:cNvPicPr>
                        </pic:nvPicPr>
                        <pic:blipFill>
                          <a:blip r:embed="rId161"/>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98"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52" descr=""/>
                          <pic:cNvPicPr>
                            <a:picLocks noChangeAspect="1" noChangeArrowheads="1"/>
                          </pic:cNvPicPr>
                        </pic:nvPicPr>
                        <pic:blipFill>
                          <a:blip r:embed="rId162"/>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199"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53" descr=""/>
                          <pic:cNvPicPr>
                            <a:picLocks noChangeAspect="1" noChangeArrowheads="1"/>
                          </pic:cNvPicPr>
                        </pic:nvPicPr>
                        <pic:blipFill>
                          <a:blip r:embed="rId163"/>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200"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54" descr=""/>
                          <pic:cNvPicPr>
                            <a:picLocks noChangeAspect="1" noChangeArrowheads="1"/>
                          </pic:cNvPicPr>
                        </pic:nvPicPr>
                        <pic:blipFill>
                          <a:blip r:embed="rId164"/>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201"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55" descr=""/>
                          <pic:cNvPicPr>
                            <a:picLocks noChangeAspect="1" noChangeArrowheads="1"/>
                          </pic:cNvPicPr>
                        </pic:nvPicPr>
                        <pic:blipFill>
                          <a:blip r:embed="rId165"/>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202"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56" descr=""/>
                          <pic:cNvPicPr>
                            <a:picLocks noChangeAspect="1" noChangeArrowheads="1"/>
                          </pic:cNvPicPr>
                        </pic:nvPicPr>
                        <pic:blipFill>
                          <a:blip r:embed="rId166"/>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203"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57" descr=""/>
                          <pic:cNvPicPr>
                            <a:picLocks noChangeAspect="1" noChangeArrowheads="1"/>
                          </pic:cNvPicPr>
                        </pic:nvPicPr>
                        <pic:blipFill>
                          <a:blip r:embed="rId167"/>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204"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58" descr=""/>
                          <pic:cNvPicPr>
                            <a:picLocks noChangeAspect="1" noChangeArrowheads="1"/>
                          </pic:cNvPicPr>
                        </pic:nvPicPr>
                        <pic:blipFill>
                          <a:blip r:embed="rId168"/>
                          <a:stretch>
                            <a:fillRect/>
                          </a:stretch>
                        </pic:blipFill>
                        <pic:spPr bwMode="auto">
                          <a:xfrm>
                            <a:off x="0" y="0"/>
                            <a:ext cx="104775" cy="104775"/>
                          </a:xfrm>
                          <a:prstGeom prst="rect">
                            <a:avLst/>
                          </a:prstGeom>
                        </pic:spPr>
                      </pic:pic>
                    </a:graphicData>
                  </a:graphic>
                </wp:inline>
              </w:drawing>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366" w:type="dxa"/>
            <w:tcBorders>
              <w:bottom w:val="single" w:sz="2" w:space="0" w:color="666666"/>
            </w:tcBorders>
            <w:tcMar>
              <w:bottom w:w="34" w:type="dxa"/>
            </w:tcMar>
            <w:vAlign w:val="center"/>
          </w:tcPr>
          <w:p>
            <w:pPr>
              <w:pStyle w:val="TableContents"/>
              <w:bidi w:val="0"/>
              <w:spacing w:lineRule="atLeast" w:line="255" w:before="0" w:after="0"/>
              <w:jc w:val="left"/>
              <w:rPr/>
            </w:pPr>
            <w:r>
              <w:rPr>
                <w:b/>
                <w:spacing w:val="0"/>
              </w:rPr>
              <w:t>Howard H. Xia</w:t>
            </w:r>
            <w:r>
              <w:rPr>
                <w:spacing w:val="-1"/>
              </w:rPr>
              <w:t xml:space="preserve"> </w:t>
              <w:br/>
              <w:t xml:space="preserve">Independent Director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205"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59" descr=""/>
                          <pic:cNvPicPr>
                            <a:picLocks noChangeAspect="1" noChangeArrowheads="1"/>
                          </pic:cNvPicPr>
                        </pic:nvPicPr>
                        <pic:blipFill>
                          <a:blip r:embed="rId169"/>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206"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60" descr=""/>
                          <pic:cNvPicPr>
                            <a:picLocks noChangeAspect="1" noChangeArrowheads="1"/>
                          </pic:cNvPicPr>
                        </pic:nvPicPr>
                        <pic:blipFill>
                          <a:blip r:embed="rId170"/>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207"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61" descr=""/>
                          <pic:cNvPicPr>
                            <a:picLocks noChangeAspect="1" noChangeArrowheads="1"/>
                          </pic:cNvPicPr>
                        </pic:nvPicPr>
                        <pic:blipFill>
                          <a:blip r:embed="rId171"/>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208"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62" descr=""/>
                          <pic:cNvPicPr>
                            <a:picLocks noChangeAspect="1" noChangeArrowheads="1"/>
                          </pic:cNvPicPr>
                        </pic:nvPicPr>
                        <pic:blipFill>
                          <a:blip r:embed="rId172"/>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34"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95" w:type="dxa"/>
            </w:tcMar>
            <w:vAlign w:val="center"/>
          </w:tcPr>
          <w:p>
            <w:pPr>
              <w:pStyle w:val="TableContents"/>
              <w:bidi w:val="0"/>
              <w:spacing w:before="0" w:after="0"/>
              <w:jc w:val="center"/>
              <w:rPr/>
            </w:pPr>
            <w:r>
              <w:rPr/>
              <w:drawing>
                <wp:inline distT="0" distB="0" distL="0" distR="0">
                  <wp:extent cx="104775" cy="104775"/>
                  <wp:effectExtent l="0" t="0" r="0" b="0"/>
                  <wp:docPr id="209"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63" descr=""/>
                          <pic:cNvPicPr>
                            <a:picLocks noChangeAspect="1" noChangeArrowheads="1"/>
                          </pic:cNvPicPr>
                        </pic:nvPicPr>
                        <pic:blipFill>
                          <a:blip r:embed="rId173"/>
                          <a:stretch>
                            <a:fillRect/>
                          </a:stretch>
                        </pic:blipFill>
                        <pic:spPr bwMode="auto">
                          <a:xfrm>
                            <a:off x="0" y="0"/>
                            <a:ext cx="104775" cy="104775"/>
                          </a:xfrm>
                          <a:prstGeom prst="rect">
                            <a:avLst/>
                          </a:prstGeom>
                        </pic:spPr>
                      </pic:pic>
                    </a:graphicData>
                  </a:graphic>
                </wp:inline>
              </w:drawing>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366" w:type="dxa"/>
            <w:tcBorders>
              <w:bottom w:val="single" w:sz="2" w:space="0" w:color="666666"/>
            </w:tcBorders>
            <w:tcMar>
              <w:bottom w:w="58" w:type="dxa"/>
            </w:tcMar>
            <w:vAlign w:val="center"/>
          </w:tcPr>
          <w:p>
            <w:pPr>
              <w:pStyle w:val="TableContents"/>
              <w:bidi w:val="0"/>
              <w:spacing w:before="0" w:after="283"/>
              <w:jc w:val="left"/>
              <w:rPr/>
            </w:pPr>
            <w:r>
              <w:rPr>
                <w:spacing w:val="0"/>
              </w:rPr>
              <w:t># of Directors with Skill/Experience</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58" w:type="dxa"/>
            </w:tcMar>
            <w:vAlign w:val="center"/>
          </w:tcPr>
          <w:p>
            <w:pPr>
              <w:pStyle w:val="TableContents"/>
              <w:bidi w:val="0"/>
              <w:spacing w:before="0" w:after="0"/>
              <w:jc w:val="center"/>
              <w:rPr/>
            </w:pPr>
            <w:r>
              <w:rPr>
                <w:spacing w:val="-2"/>
              </w:rPr>
              <w:t>8</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58" w:type="dxa"/>
            </w:tcMar>
            <w:vAlign w:val="center"/>
          </w:tcPr>
          <w:p>
            <w:pPr>
              <w:pStyle w:val="TableContents"/>
              <w:bidi w:val="0"/>
              <w:spacing w:before="0" w:after="0"/>
              <w:jc w:val="center"/>
              <w:rPr/>
            </w:pPr>
            <w:r>
              <w:rPr>
                <w:spacing w:val="-2"/>
              </w:rPr>
              <w:t>14</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58" w:type="dxa"/>
            </w:tcMar>
            <w:vAlign w:val="center"/>
          </w:tcPr>
          <w:p>
            <w:pPr>
              <w:pStyle w:val="TableContents"/>
              <w:bidi w:val="0"/>
              <w:spacing w:before="0" w:after="0"/>
              <w:jc w:val="center"/>
              <w:rPr/>
            </w:pPr>
            <w:r>
              <w:rPr>
                <w:spacing w:val="-2"/>
              </w:rPr>
              <w:t>11</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58" w:type="dxa"/>
            </w:tcMar>
            <w:vAlign w:val="center"/>
          </w:tcPr>
          <w:p>
            <w:pPr>
              <w:pStyle w:val="TableContents"/>
              <w:bidi w:val="0"/>
              <w:spacing w:before="0" w:after="0"/>
              <w:jc w:val="center"/>
              <w:rPr/>
            </w:pPr>
            <w:r>
              <w:rPr>
                <w:spacing w:val="-2"/>
              </w:rPr>
              <w:t>13</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58" w:type="dxa"/>
            </w:tcMar>
            <w:vAlign w:val="center"/>
          </w:tcPr>
          <w:p>
            <w:pPr>
              <w:pStyle w:val="TableContents"/>
              <w:bidi w:val="0"/>
              <w:spacing w:before="0" w:after="0"/>
              <w:jc w:val="center"/>
              <w:rPr/>
            </w:pPr>
            <w:r>
              <w:rPr>
                <w:spacing w:val="-2"/>
              </w:rPr>
              <w:t>4</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58" w:type="dxa"/>
            </w:tcMar>
            <w:vAlign w:val="center"/>
          </w:tcPr>
          <w:p>
            <w:pPr>
              <w:pStyle w:val="TableContents"/>
              <w:bidi w:val="0"/>
              <w:spacing w:before="0" w:after="0"/>
              <w:jc w:val="center"/>
              <w:rPr/>
            </w:pPr>
            <w:r>
              <w:rPr>
                <w:spacing w:val="-2"/>
              </w:rPr>
              <w:t>8</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58" w:type="dxa"/>
            </w:tcMar>
            <w:vAlign w:val="center"/>
          </w:tcPr>
          <w:p>
            <w:pPr>
              <w:pStyle w:val="TableContents"/>
              <w:bidi w:val="0"/>
              <w:spacing w:before="0" w:after="0"/>
              <w:jc w:val="center"/>
              <w:rPr/>
            </w:pPr>
            <w:r>
              <w:rPr>
                <w:spacing w:val="-2"/>
              </w:rPr>
              <w:t>8</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58" w:type="dxa"/>
            </w:tcMar>
            <w:vAlign w:val="center"/>
          </w:tcPr>
          <w:p>
            <w:pPr>
              <w:pStyle w:val="TableContents"/>
              <w:bidi w:val="0"/>
              <w:spacing w:before="0" w:after="0"/>
              <w:jc w:val="center"/>
              <w:rPr/>
            </w:pPr>
            <w:r>
              <w:rPr>
                <w:spacing w:val="-2"/>
              </w:rPr>
              <w:t>14</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58" w:type="dxa"/>
            </w:tcMar>
            <w:vAlign w:val="center"/>
          </w:tcPr>
          <w:p>
            <w:pPr>
              <w:pStyle w:val="TableContents"/>
              <w:bidi w:val="0"/>
              <w:spacing w:before="0" w:after="0"/>
              <w:jc w:val="center"/>
              <w:rPr/>
            </w:pPr>
            <w:r>
              <w:rPr>
                <w:spacing w:val="-2"/>
              </w:rPr>
              <w:t>12</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58" w:type="dxa"/>
            </w:tcMar>
            <w:vAlign w:val="center"/>
          </w:tcPr>
          <w:p>
            <w:pPr>
              <w:pStyle w:val="TableContents"/>
              <w:bidi w:val="0"/>
              <w:spacing w:before="0" w:after="0"/>
              <w:jc w:val="center"/>
              <w:rPr/>
            </w:pPr>
            <w:r>
              <w:rPr>
                <w:spacing w:val="-2"/>
              </w:rPr>
              <w:t>11</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16" w:type="dxa"/>
            <w:tcBorders>
              <w:bottom w:val="single" w:sz="2" w:space="0" w:color="666666"/>
            </w:tcBorders>
            <w:tcMar>
              <w:bottom w:w="58" w:type="dxa"/>
            </w:tcMar>
            <w:vAlign w:val="center"/>
          </w:tcPr>
          <w:p>
            <w:pPr>
              <w:pStyle w:val="TableContents"/>
              <w:bidi w:val="0"/>
              <w:spacing w:before="0" w:after="0"/>
              <w:jc w:val="center"/>
              <w:rPr/>
            </w:pPr>
            <w:r>
              <w:rPr>
                <w:spacing w:val="-2"/>
              </w:rPr>
              <w:t>14</w:t>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440" w:type="dxa"/>
            <w:gridSpan w:val="34"/>
            <w:tcBorders/>
            <w:vAlign w:val="center"/>
          </w:tcPr>
          <w:p>
            <w:pPr>
              <w:pStyle w:val="TableContents"/>
              <w:bidi w:val="0"/>
              <w:spacing w:before="0" w:after="283"/>
              <w:jc w:val="left"/>
              <w:rPr/>
            </w:pPr>
            <w:r>
              <w:rPr>
                <w:spacing w:val="0"/>
              </w:rPr>
              <w:t> </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7</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440" w:before="120" w:after="1144"/>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NUMBER OF DIRECTORS WITH KEY BOARD SKILLS</w:t>
      </w:r>
      <w:r>
        <w:rPr>
          <w:rFonts w:ascii="Tahoma;Geneva;sans-serif" w:hAnsi="Tahoma;Geneva;sans-serif"/>
          <w:b/>
          <w:i w:val="false"/>
          <w:caps w:val="false"/>
          <w:smallCaps w:val="false"/>
          <w:color w:val="000000"/>
          <w:spacing w:val="8"/>
          <w:sz w:val="40"/>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4091"/>
        <w:gridCol w:w="109"/>
        <w:gridCol w:w="109"/>
        <w:gridCol w:w="2188"/>
        <w:gridCol w:w="109"/>
        <w:gridCol w:w="109"/>
        <w:gridCol w:w="2278"/>
        <w:gridCol w:w="155"/>
      </w:tblGrid>
      <w:tr>
        <w:trPr/>
        <w:tc>
          <w:tcPr>
            <w:tcW w:w="124" w:type="dxa"/>
            <w:tcBorders/>
            <w:vAlign w:val="center"/>
          </w:tcPr>
          <w:p>
            <w:pPr>
              <w:pStyle w:val="TableContents"/>
              <w:bidi w:val="0"/>
              <w:spacing w:before="0" w:after="283"/>
              <w:jc w:val="left"/>
              <w:rPr/>
            </w:pPr>
            <w:r>
              <w:rPr/>
              <w:t>​</w:t>
            </w:r>
          </w:p>
        </w:tc>
        <w:tc>
          <w:tcPr>
            <w:tcW w:w="4091" w:type="dxa"/>
            <w:tcBorders/>
            <w:vAlign w:val="center"/>
          </w:tcPr>
          <w:p>
            <w:pPr>
              <w:pStyle w:val="TableContents"/>
              <w:bidi w:val="0"/>
              <w:spacing w:before="0" w:after="0"/>
              <w:jc w:val="left"/>
              <w:rPr/>
            </w:pPr>
            <w:r>
              <w:rPr/>
              <w:drawing>
                <wp:inline distT="0" distB="0" distL="0" distR="0">
                  <wp:extent cx="1285875" cy="76200"/>
                  <wp:effectExtent l="0" t="0" r="0" b="0"/>
                  <wp:docPr id="210"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64" descr=""/>
                          <pic:cNvPicPr>
                            <a:picLocks noChangeAspect="1" noChangeArrowheads="1"/>
                          </pic:cNvPicPr>
                        </pic:nvPicPr>
                        <pic:blipFill>
                          <a:blip r:embed="rId174"/>
                          <a:stretch>
                            <a:fillRect/>
                          </a:stretch>
                        </pic:blipFill>
                        <pic:spPr bwMode="auto">
                          <a:xfrm>
                            <a:off x="0" y="0"/>
                            <a:ext cx="1285875" cy="76200"/>
                          </a:xfrm>
                          <a:prstGeom prst="rect">
                            <a:avLst/>
                          </a:prstGeom>
                        </pic:spPr>
                      </pic:pic>
                    </a:graphicData>
                  </a:graphic>
                </wp:inline>
              </w:drawing>
            </w:r>
            <w:r>
              <w:rPr/>
              <w:t xml:space="preserve"> </w:t>
            </w:r>
          </w:p>
          <w:p>
            <w:pPr>
              <w:pStyle w:val="TableContents"/>
              <w:bidi w:val="0"/>
              <w:spacing w:lineRule="atLeast" w:line="255" w:before="166" w:after="283"/>
              <w:jc w:val="left"/>
              <w:rPr>
                <w:rFonts w:ascii="Tahoma;Geneva;sans-serif" w:hAnsi="Tahoma;Geneva;sans-serif"/>
                <w:b/>
              </w:rPr>
            </w:pPr>
            <w:r>
              <w:rPr>
                <w:rFonts w:ascii="Tahoma;Geneva;sans-serif" w:hAnsi="Tahoma;Geneva;sans-serif"/>
                <w:b/>
              </w:rPr>
              <w:t>ACCOUNTING / FINANCE</w:t>
            </w:r>
          </w:p>
          <w:p>
            <w:pPr>
              <w:pStyle w:val="TableContents"/>
              <w:bidi w:val="0"/>
              <w:spacing w:lineRule="atLeast" w:line="255" w:before="120" w:after="283"/>
              <w:jc w:val="left"/>
              <w:rPr>
                <w:spacing w:val="-1"/>
              </w:rPr>
            </w:pPr>
            <w:r>
              <w:rPr>
                <w:spacing w:val="-1"/>
              </w:rPr>
              <w:t xml:space="preserve">Possesses a deep understanding of finance, accounting principles and methodologies, financial reporting, financial management, capital markets, financial statements, audit processes and procedures or internal financial controls.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88" w:type="dxa"/>
            <w:tcBorders/>
            <w:vAlign w:val="center"/>
          </w:tcPr>
          <w:p>
            <w:pPr>
              <w:pStyle w:val="TableContents"/>
              <w:bidi w:val="0"/>
              <w:spacing w:before="0" w:after="0"/>
              <w:jc w:val="left"/>
              <w:rPr/>
            </w:pPr>
            <w:r>
              <w:rPr/>
              <w:drawing>
                <wp:inline distT="0" distB="0" distL="0" distR="0">
                  <wp:extent cx="1285875" cy="76200"/>
                  <wp:effectExtent l="0" t="0" r="0" b="0"/>
                  <wp:docPr id="211"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65" descr=""/>
                          <pic:cNvPicPr>
                            <a:picLocks noChangeAspect="1" noChangeArrowheads="1"/>
                          </pic:cNvPicPr>
                        </pic:nvPicPr>
                        <pic:blipFill>
                          <a:blip r:embed="rId175"/>
                          <a:stretch>
                            <a:fillRect/>
                          </a:stretch>
                        </pic:blipFill>
                        <pic:spPr bwMode="auto">
                          <a:xfrm>
                            <a:off x="0" y="0"/>
                            <a:ext cx="1285875" cy="76200"/>
                          </a:xfrm>
                          <a:prstGeom prst="rect">
                            <a:avLst/>
                          </a:prstGeom>
                        </pic:spPr>
                      </pic:pic>
                    </a:graphicData>
                  </a:graphic>
                </wp:inline>
              </w:drawing>
            </w:r>
            <w:r>
              <w:rPr/>
              <w:t xml:space="preserve"> </w:t>
            </w:r>
          </w:p>
          <w:p>
            <w:pPr>
              <w:pStyle w:val="TableContents"/>
              <w:bidi w:val="0"/>
              <w:spacing w:lineRule="atLeast" w:line="255" w:before="166" w:after="283"/>
              <w:jc w:val="left"/>
              <w:rPr>
                <w:rFonts w:ascii="Tahoma;Geneva;sans-serif" w:hAnsi="Tahoma;Geneva;sans-serif"/>
                <w:b/>
              </w:rPr>
            </w:pPr>
            <w:r>
              <w:rPr>
                <w:rFonts w:ascii="Tahoma;Geneva;sans-serif" w:hAnsi="Tahoma;Geneva;sans-serif"/>
                <w:b/>
              </w:rPr>
              <w:t>BUSINESS DEVELOPMENT / STRATEGY</w:t>
            </w:r>
          </w:p>
          <w:p>
            <w:pPr>
              <w:pStyle w:val="TableContents"/>
              <w:bidi w:val="0"/>
              <w:spacing w:lineRule="atLeast" w:line="255" w:before="120" w:after="283"/>
              <w:jc w:val="left"/>
              <w:rPr>
                <w:spacing w:val="-1"/>
              </w:rPr>
            </w:pPr>
            <w:r>
              <w:rPr>
                <w:spacing w:val="-1"/>
              </w:rPr>
              <w:t xml:space="preserve">Expertise in strategic planning, mergers and acquisitions, growth strategies or business expansion.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78" w:type="dxa"/>
            <w:tcBorders/>
            <w:vAlign w:val="center"/>
          </w:tcPr>
          <w:p>
            <w:pPr>
              <w:pStyle w:val="TableContents"/>
              <w:bidi w:val="0"/>
              <w:spacing w:before="0" w:after="0"/>
              <w:jc w:val="left"/>
              <w:rPr/>
            </w:pPr>
            <w:r>
              <w:rPr/>
              <w:drawing>
                <wp:inline distT="0" distB="0" distL="0" distR="0">
                  <wp:extent cx="1285875" cy="76200"/>
                  <wp:effectExtent l="0" t="0" r="0" b="0"/>
                  <wp:docPr id="212"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66" descr=""/>
                          <pic:cNvPicPr>
                            <a:picLocks noChangeAspect="1" noChangeArrowheads="1"/>
                          </pic:cNvPicPr>
                        </pic:nvPicPr>
                        <pic:blipFill>
                          <a:blip r:embed="rId176"/>
                          <a:stretch>
                            <a:fillRect/>
                          </a:stretch>
                        </pic:blipFill>
                        <pic:spPr bwMode="auto">
                          <a:xfrm>
                            <a:off x="0" y="0"/>
                            <a:ext cx="1285875" cy="76200"/>
                          </a:xfrm>
                          <a:prstGeom prst="rect">
                            <a:avLst/>
                          </a:prstGeom>
                        </pic:spPr>
                      </pic:pic>
                    </a:graphicData>
                  </a:graphic>
                </wp:inline>
              </w:drawing>
            </w:r>
            <w:r>
              <w:rPr/>
              <w:t xml:space="preserve"> </w:t>
            </w:r>
          </w:p>
          <w:p>
            <w:pPr>
              <w:pStyle w:val="TableContents"/>
              <w:bidi w:val="0"/>
              <w:spacing w:lineRule="atLeast" w:line="255" w:before="166" w:after="283"/>
              <w:jc w:val="left"/>
              <w:rPr>
                <w:rFonts w:ascii="Tahoma;Geneva;sans-serif" w:hAnsi="Tahoma;Geneva;sans-serif"/>
                <w:b/>
              </w:rPr>
            </w:pPr>
            <w:r>
              <w:rPr>
                <w:rFonts w:ascii="Tahoma;Geneva;sans-serif" w:hAnsi="Tahoma;Geneva;sans-serif"/>
                <w:b/>
              </w:rPr>
              <w:t>CORPORATE GOVERNANCE / ETHICS</w:t>
            </w:r>
          </w:p>
          <w:p>
            <w:pPr>
              <w:pStyle w:val="TableContents"/>
              <w:bidi w:val="0"/>
              <w:spacing w:lineRule="atLeast" w:line="255" w:before="120" w:after="283"/>
              <w:jc w:val="left"/>
              <w:rPr>
                <w:spacing w:val="-1"/>
              </w:rPr>
            </w:pPr>
            <w:r>
              <w:rPr>
                <w:spacing w:val="-1"/>
              </w:rPr>
              <w:t xml:space="preserve">Significant corporate governance and/or ethics experience.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91" w:type="dxa"/>
            <w:tcBorders/>
            <w:vAlign w:val="center"/>
          </w:tcPr>
          <w:p>
            <w:pPr>
              <w:pStyle w:val="TableContents"/>
              <w:bidi w:val="0"/>
              <w:spacing w:before="0" w:after="0"/>
              <w:jc w:val="left"/>
              <w:rPr/>
            </w:pPr>
            <w:r>
              <w:rPr/>
              <w:drawing>
                <wp:inline distT="0" distB="0" distL="0" distR="0">
                  <wp:extent cx="1285875" cy="76200"/>
                  <wp:effectExtent l="0" t="0" r="0" b="0"/>
                  <wp:docPr id="213"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67" descr=""/>
                          <pic:cNvPicPr>
                            <a:picLocks noChangeAspect="1" noChangeArrowheads="1"/>
                          </pic:cNvPicPr>
                        </pic:nvPicPr>
                        <pic:blipFill>
                          <a:blip r:embed="rId177"/>
                          <a:stretch>
                            <a:fillRect/>
                          </a:stretch>
                        </pic:blipFill>
                        <pic:spPr bwMode="auto">
                          <a:xfrm>
                            <a:off x="0" y="0"/>
                            <a:ext cx="1285875" cy="76200"/>
                          </a:xfrm>
                          <a:prstGeom prst="rect">
                            <a:avLst/>
                          </a:prstGeom>
                        </pic:spPr>
                      </pic:pic>
                    </a:graphicData>
                  </a:graphic>
                </wp:inline>
              </w:drawing>
            </w:r>
            <w:r>
              <w:rPr/>
              <w:t xml:space="preserve"> </w:t>
            </w:r>
          </w:p>
          <w:p>
            <w:pPr>
              <w:pStyle w:val="TableContents"/>
              <w:bidi w:val="0"/>
              <w:spacing w:lineRule="atLeast" w:line="255" w:before="165" w:after="283"/>
              <w:jc w:val="left"/>
              <w:rPr>
                <w:rFonts w:ascii="Tahoma;Geneva;sans-serif" w:hAnsi="Tahoma;Geneva;sans-serif"/>
                <w:b/>
              </w:rPr>
            </w:pPr>
            <w:r>
              <w:rPr>
                <w:rFonts w:ascii="Tahoma;Geneva;sans-serif" w:hAnsi="Tahoma;Geneva;sans-serif"/>
                <w:b/>
              </w:rPr>
              <w:t>EXECUTIVE LEADERSHIP</w:t>
            </w:r>
          </w:p>
          <w:p>
            <w:pPr>
              <w:pStyle w:val="TableContents"/>
              <w:bidi w:val="0"/>
              <w:spacing w:lineRule="atLeast" w:line="255" w:before="120" w:after="283"/>
              <w:jc w:val="left"/>
              <w:rPr>
                <w:spacing w:val="-1"/>
              </w:rPr>
            </w:pPr>
            <w:r>
              <w:rPr>
                <w:spacing w:val="-1"/>
              </w:rPr>
              <w:t xml:space="preserve">Current or former chief executive officer or the equivalent thereof, senior executive or business unit leader of a company with significant experience overseeing complex business operations and </w:t>
              <w:br/>
              <w:t xml:space="preserve">growth initiatives.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88" w:type="dxa"/>
            <w:tcBorders/>
            <w:vAlign w:val="center"/>
          </w:tcPr>
          <w:p>
            <w:pPr>
              <w:pStyle w:val="TableContents"/>
              <w:bidi w:val="0"/>
              <w:spacing w:before="0" w:after="0"/>
              <w:jc w:val="left"/>
              <w:rPr/>
            </w:pPr>
            <w:r>
              <w:rPr/>
              <w:drawing>
                <wp:inline distT="0" distB="0" distL="0" distR="0">
                  <wp:extent cx="1285875" cy="76200"/>
                  <wp:effectExtent l="0" t="0" r="0" b="0"/>
                  <wp:docPr id="214"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68" descr=""/>
                          <pic:cNvPicPr>
                            <a:picLocks noChangeAspect="1" noChangeArrowheads="1"/>
                          </pic:cNvPicPr>
                        </pic:nvPicPr>
                        <pic:blipFill>
                          <a:blip r:embed="rId178"/>
                          <a:stretch>
                            <a:fillRect/>
                          </a:stretch>
                        </pic:blipFill>
                        <pic:spPr bwMode="auto">
                          <a:xfrm>
                            <a:off x="0" y="0"/>
                            <a:ext cx="1285875" cy="76200"/>
                          </a:xfrm>
                          <a:prstGeom prst="rect">
                            <a:avLst/>
                          </a:prstGeom>
                        </pic:spPr>
                      </pic:pic>
                    </a:graphicData>
                  </a:graphic>
                </wp:inline>
              </w:drawing>
            </w:r>
            <w:r>
              <w:rPr/>
              <w:t xml:space="preserve"> </w:t>
            </w:r>
          </w:p>
          <w:p>
            <w:pPr>
              <w:pStyle w:val="TableContents"/>
              <w:bidi w:val="0"/>
              <w:spacing w:lineRule="atLeast" w:line="255" w:before="165" w:after="283"/>
              <w:jc w:val="left"/>
              <w:rPr>
                <w:rFonts w:ascii="Tahoma;Geneva;sans-serif" w:hAnsi="Tahoma;Geneva;sans-serif"/>
                <w:b/>
              </w:rPr>
            </w:pPr>
            <w:r>
              <w:rPr>
                <w:rFonts w:ascii="Tahoma;Geneva;sans-serif" w:hAnsi="Tahoma;Geneva;sans-serif"/>
                <w:b/>
              </w:rPr>
              <w:t>IT / CYBERSECURITY / PRIVACY</w:t>
            </w:r>
          </w:p>
          <w:p>
            <w:pPr>
              <w:pStyle w:val="TableContents"/>
              <w:bidi w:val="0"/>
              <w:spacing w:lineRule="atLeast" w:line="255" w:before="120" w:after="283"/>
              <w:jc w:val="left"/>
              <w:rPr>
                <w:spacing w:val="-1"/>
              </w:rPr>
            </w:pPr>
            <w:r>
              <w:rPr>
                <w:spacing w:val="-1"/>
              </w:rPr>
              <w:t xml:space="preserve">Experienced leader in cybersecurity or privacy, including overseeing risks related to emerging cybersecurity developments, threats and strategies.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78" w:type="dxa"/>
            <w:tcBorders/>
            <w:vAlign w:val="center"/>
          </w:tcPr>
          <w:p>
            <w:pPr>
              <w:pStyle w:val="TableContents"/>
              <w:bidi w:val="0"/>
              <w:spacing w:before="0" w:after="0"/>
              <w:jc w:val="left"/>
              <w:rPr/>
            </w:pPr>
            <w:r>
              <w:rPr/>
              <w:drawing>
                <wp:inline distT="0" distB="0" distL="0" distR="0">
                  <wp:extent cx="1285875" cy="76200"/>
                  <wp:effectExtent l="0" t="0" r="0" b="0"/>
                  <wp:docPr id="215"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69" descr=""/>
                          <pic:cNvPicPr>
                            <a:picLocks noChangeAspect="1" noChangeArrowheads="1"/>
                          </pic:cNvPicPr>
                        </pic:nvPicPr>
                        <pic:blipFill>
                          <a:blip r:embed="rId179"/>
                          <a:stretch>
                            <a:fillRect/>
                          </a:stretch>
                        </pic:blipFill>
                        <pic:spPr bwMode="auto">
                          <a:xfrm>
                            <a:off x="0" y="0"/>
                            <a:ext cx="1285875" cy="76200"/>
                          </a:xfrm>
                          <a:prstGeom prst="rect">
                            <a:avLst/>
                          </a:prstGeom>
                        </pic:spPr>
                      </pic:pic>
                    </a:graphicData>
                  </a:graphic>
                </wp:inline>
              </w:drawing>
            </w:r>
            <w:r>
              <w:rPr/>
              <w:t xml:space="preserve"> </w:t>
            </w:r>
          </w:p>
          <w:p>
            <w:pPr>
              <w:pStyle w:val="TableContents"/>
              <w:bidi w:val="0"/>
              <w:spacing w:lineRule="atLeast" w:line="255" w:before="165" w:after="283"/>
              <w:jc w:val="left"/>
              <w:rPr>
                <w:rFonts w:ascii="Tahoma;Geneva;sans-serif" w:hAnsi="Tahoma;Geneva;sans-serif"/>
                <w:b/>
              </w:rPr>
            </w:pPr>
            <w:r>
              <w:rPr>
                <w:rFonts w:ascii="Tahoma;Geneva;sans-serif" w:hAnsi="Tahoma;Geneva;sans-serif"/>
                <w:b/>
              </w:rPr>
              <w:t>LEGAL / REGULATORY</w:t>
            </w:r>
          </w:p>
          <w:p>
            <w:pPr>
              <w:pStyle w:val="TableContents"/>
              <w:bidi w:val="0"/>
              <w:spacing w:lineRule="atLeast" w:line="255" w:before="120" w:after="283"/>
              <w:jc w:val="left"/>
              <w:rPr>
                <w:spacing w:val="-1"/>
              </w:rPr>
            </w:pPr>
            <w:r>
              <w:rPr>
                <w:spacing w:val="-1"/>
              </w:rPr>
              <w:t xml:space="preserve">Relevant background in governmental policy, legal knowledge or experience with compliance and regulatory issues within a public company or regulatory body, including being a Certified Public Accountant, having a Juris Doctorate, or having significant chief financial officer experience.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91" w:type="dxa"/>
            <w:tcBorders/>
            <w:vAlign w:val="center"/>
          </w:tcPr>
          <w:p>
            <w:pPr>
              <w:pStyle w:val="TableContents"/>
              <w:bidi w:val="0"/>
              <w:spacing w:before="0" w:after="0"/>
              <w:jc w:val="left"/>
              <w:rPr/>
            </w:pPr>
            <w:r>
              <w:rPr/>
              <w:drawing>
                <wp:inline distT="0" distB="0" distL="0" distR="0">
                  <wp:extent cx="1285875" cy="76200"/>
                  <wp:effectExtent l="0" t="0" r="0" b="0"/>
                  <wp:docPr id="216"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70" descr=""/>
                          <pic:cNvPicPr>
                            <a:picLocks noChangeAspect="1" noChangeArrowheads="1"/>
                          </pic:cNvPicPr>
                        </pic:nvPicPr>
                        <pic:blipFill>
                          <a:blip r:embed="rId180"/>
                          <a:stretch>
                            <a:fillRect/>
                          </a:stretch>
                        </pic:blipFill>
                        <pic:spPr bwMode="auto">
                          <a:xfrm>
                            <a:off x="0" y="0"/>
                            <a:ext cx="1285875" cy="76200"/>
                          </a:xfrm>
                          <a:prstGeom prst="rect">
                            <a:avLst/>
                          </a:prstGeom>
                        </pic:spPr>
                      </pic:pic>
                    </a:graphicData>
                  </a:graphic>
                </wp:inline>
              </w:drawing>
            </w:r>
            <w:r>
              <w:rPr/>
              <w:t xml:space="preserve"> </w:t>
            </w:r>
          </w:p>
          <w:p>
            <w:pPr>
              <w:pStyle w:val="TableContents"/>
              <w:bidi w:val="0"/>
              <w:spacing w:lineRule="atLeast" w:line="255" w:before="166" w:after="283"/>
              <w:jc w:val="left"/>
              <w:rPr/>
            </w:pPr>
            <w:r>
              <w:rPr>
                <w:rFonts w:ascii="Tahoma;Geneva;sans-serif" w:hAnsi="Tahoma;Geneva;sans-serif"/>
                <w:b/>
              </w:rPr>
              <w:t xml:space="preserve">MATERIALS / SEMICONDUCTOR / </w:t>
              <w:br/>
              <w:t>NETWORKING / LASER INDUSTRIES</w:t>
            </w:r>
            <w:r>
              <w:rPr>
                <w:spacing w:val="-1"/>
              </w:rPr>
              <w:t xml:space="preserve"> </w:t>
              <w:br/>
              <w:t xml:space="preserve">Specific and extensive professional experience in the materials, semiconductor, networking and/or laser industries.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88" w:type="dxa"/>
            <w:tcBorders/>
            <w:vAlign w:val="center"/>
          </w:tcPr>
          <w:p>
            <w:pPr>
              <w:pStyle w:val="TableContents"/>
              <w:bidi w:val="0"/>
              <w:spacing w:before="0" w:after="0"/>
              <w:jc w:val="left"/>
              <w:rPr/>
            </w:pPr>
            <w:r>
              <w:rPr/>
              <w:drawing>
                <wp:inline distT="0" distB="0" distL="0" distR="0">
                  <wp:extent cx="1285875" cy="76200"/>
                  <wp:effectExtent l="0" t="0" r="0" b="0"/>
                  <wp:docPr id="217"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71" descr=""/>
                          <pic:cNvPicPr>
                            <a:picLocks noChangeAspect="1" noChangeArrowheads="1"/>
                          </pic:cNvPicPr>
                        </pic:nvPicPr>
                        <pic:blipFill>
                          <a:blip r:embed="rId181"/>
                          <a:stretch>
                            <a:fillRect/>
                          </a:stretch>
                        </pic:blipFill>
                        <pic:spPr bwMode="auto">
                          <a:xfrm>
                            <a:off x="0" y="0"/>
                            <a:ext cx="1285875" cy="76200"/>
                          </a:xfrm>
                          <a:prstGeom prst="rect">
                            <a:avLst/>
                          </a:prstGeom>
                        </pic:spPr>
                      </pic:pic>
                    </a:graphicData>
                  </a:graphic>
                </wp:inline>
              </w:drawing>
            </w:r>
            <w:r>
              <w:rPr/>
              <w:t xml:space="preserve"> </w:t>
            </w:r>
          </w:p>
          <w:p>
            <w:pPr>
              <w:pStyle w:val="TableContents"/>
              <w:bidi w:val="0"/>
              <w:spacing w:lineRule="atLeast" w:line="255" w:before="166" w:after="283"/>
              <w:jc w:val="left"/>
              <w:rPr>
                <w:rFonts w:ascii="Tahoma;Geneva;sans-serif" w:hAnsi="Tahoma;Geneva;sans-serif"/>
                <w:b/>
              </w:rPr>
            </w:pPr>
            <w:r>
              <w:rPr>
                <w:rFonts w:ascii="Tahoma;Geneva;sans-serif" w:hAnsi="Tahoma;Geneva;sans-serif"/>
                <w:b/>
              </w:rPr>
              <w:t>OPERATIONS</w:t>
            </w:r>
          </w:p>
          <w:p>
            <w:pPr>
              <w:pStyle w:val="TableContents"/>
              <w:bidi w:val="0"/>
              <w:spacing w:lineRule="atLeast" w:line="255" w:before="120" w:after="283"/>
              <w:jc w:val="left"/>
              <w:rPr>
                <w:spacing w:val="-1"/>
              </w:rPr>
            </w:pPr>
            <w:r>
              <w:rPr>
                <w:spacing w:val="-1"/>
              </w:rPr>
              <w:t xml:space="preserve">Experience in business operations, management, supply chain management, integration </w:t>
              <w:br/>
              <w:t xml:space="preserve">or distribution.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78" w:type="dxa"/>
            <w:tcBorders/>
            <w:vAlign w:val="center"/>
          </w:tcPr>
          <w:p>
            <w:pPr>
              <w:pStyle w:val="TableContents"/>
              <w:bidi w:val="0"/>
              <w:spacing w:before="0" w:after="0"/>
              <w:jc w:val="left"/>
              <w:rPr/>
            </w:pPr>
            <w:r>
              <w:rPr/>
              <w:drawing>
                <wp:inline distT="0" distB="0" distL="0" distR="0">
                  <wp:extent cx="1285875" cy="76200"/>
                  <wp:effectExtent l="0" t="0" r="0" b="0"/>
                  <wp:docPr id="218"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72" descr=""/>
                          <pic:cNvPicPr>
                            <a:picLocks noChangeAspect="1" noChangeArrowheads="1"/>
                          </pic:cNvPicPr>
                        </pic:nvPicPr>
                        <pic:blipFill>
                          <a:blip r:embed="rId182"/>
                          <a:stretch>
                            <a:fillRect/>
                          </a:stretch>
                        </pic:blipFill>
                        <pic:spPr bwMode="auto">
                          <a:xfrm>
                            <a:off x="0" y="0"/>
                            <a:ext cx="1285875" cy="76200"/>
                          </a:xfrm>
                          <a:prstGeom prst="rect">
                            <a:avLst/>
                          </a:prstGeom>
                        </pic:spPr>
                      </pic:pic>
                    </a:graphicData>
                  </a:graphic>
                </wp:inline>
              </w:drawing>
            </w:r>
            <w:r>
              <w:rPr/>
              <w:t xml:space="preserve"> </w:t>
            </w:r>
          </w:p>
          <w:p>
            <w:pPr>
              <w:pStyle w:val="TableContents"/>
              <w:bidi w:val="0"/>
              <w:spacing w:lineRule="atLeast" w:line="255" w:before="166" w:after="283"/>
              <w:jc w:val="left"/>
              <w:rPr>
                <w:rFonts w:ascii="Tahoma;Geneva;sans-serif" w:hAnsi="Tahoma;Geneva;sans-serif"/>
                <w:b/>
              </w:rPr>
            </w:pPr>
            <w:r>
              <w:rPr>
                <w:rFonts w:ascii="Tahoma;Geneva;sans-serif" w:hAnsi="Tahoma;Geneva;sans-serif"/>
                <w:b/>
              </w:rPr>
              <w:t>RISK MANAGEMENT</w:t>
            </w:r>
          </w:p>
          <w:p>
            <w:pPr>
              <w:pStyle w:val="TableContents"/>
              <w:bidi w:val="0"/>
              <w:spacing w:lineRule="atLeast" w:line="255" w:before="120" w:after="283"/>
              <w:jc w:val="left"/>
              <w:rPr>
                <w:spacing w:val="-1"/>
              </w:rPr>
            </w:pPr>
            <w:r>
              <w:rPr>
                <w:spacing w:val="-1"/>
              </w:rPr>
              <w:t xml:space="preserve">Demonstrated expertise in identifying, assessing and overseeing evolving risks, including the development and implementation of effective mitigation strategies.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91" w:type="dxa"/>
            <w:tcBorders/>
            <w:vAlign w:val="center"/>
          </w:tcPr>
          <w:p>
            <w:pPr>
              <w:pStyle w:val="TableContents"/>
              <w:bidi w:val="0"/>
              <w:spacing w:before="0" w:after="0"/>
              <w:jc w:val="left"/>
              <w:rPr/>
            </w:pPr>
            <w:r>
              <w:rPr/>
              <w:drawing>
                <wp:inline distT="0" distB="0" distL="0" distR="0">
                  <wp:extent cx="1285875" cy="76200"/>
                  <wp:effectExtent l="0" t="0" r="0" b="0"/>
                  <wp:docPr id="219"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73" descr=""/>
                          <pic:cNvPicPr>
                            <a:picLocks noChangeAspect="1" noChangeArrowheads="1"/>
                          </pic:cNvPicPr>
                        </pic:nvPicPr>
                        <pic:blipFill>
                          <a:blip r:embed="rId183"/>
                          <a:stretch>
                            <a:fillRect/>
                          </a:stretch>
                        </pic:blipFill>
                        <pic:spPr bwMode="auto">
                          <a:xfrm>
                            <a:off x="0" y="0"/>
                            <a:ext cx="1285875" cy="76200"/>
                          </a:xfrm>
                          <a:prstGeom prst="rect">
                            <a:avLst/>
                          </a:prstGeom>
                        </pic:spPr>
                      </pic:pic>
                    </a:graphicData>
                  </a:graphic>
                </wp:inline>
              </w:drawing>
            </w:r>
            <w:r>
              <w:rPr/>
              <w:t xml:space="preserve"> </w:t>
            </w:r>
          </w:p>
          <w:p>
            <w:pPr>
              <w:pStyle w:val="TableContents"/>
              <w:bidi w:val="0"/>
              <w:spacing w:lineRule="atLeast" w:line="255" w:before="166" w:after="283"/>
              <w:jc w:val="left"/>
              <w:rPr/>
            </w:pPr>
            <w:r>
              <w:rPr>
                <w:rFonts w:ascii="Tahoma;Geneva;sans-serif" w:hAnsi="Tahoma;Geneva;sans-serif"/>
                <w:b/>
              </w:rPr>
              <w:t>TALENT / COMPENSATION</w:t>
            </w:r>
            <w:r>
              <w:rPr>
                <w:spacing w:val="-1"/>
              </w:rPr>
              <w:t xml:space="preserve"> </w:t>
              <w:br/>
              <w:t xml:space="preserve">Specific and extensive career knowledge focusing on human talent management and compensation, including current or former service on the compensation committee of a public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88" w:type="dxa"/>
            <w:tcBorders/>
            <w:vAlign w:val="center"/>
          </w:tcPr>
          <w:p>
            <w:pPr>
              <w:pStyle w:val="TableContents"/>
              <w:bidi w:val="0"/>
              <w:spacing w:before="0" w:after="0"/>
              <w:jc w:val="left"/>
              <w:rPr/>
            </w:pPr>
            <w:r>
              <w:rPr/>
              <w:drawing>
                <wp:inline distT="0" distB="0" distL="0" distR="0">
                  <wp:extent cx="1285875" cy="76200"/>
                  <wp:effectExtent l="0" t="0" r="0" b="0"/>
                  <wp:docPr id="220"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74" descr=""/>
                          <pic:cNvPicPr>
                            <a:picLocks noChangeAspect="1" noChangeArrowheads="1"/>
                          </pic:cNvPicPr>
                        </pic:nvPicPr>
                        <pic:blipFill>
                          <a:blip r:embed="rId184"/>
                          <a:stretch>
                            <a:fillRect/>
                          </a:stretch>
                        </pic:blipFill>
                        <pic:spPr bwMode="auto">
                          <a:xfrm>
                            <a:off x="0" y="0"/>
                            <a:ext cx="1285875" cy="76200"/>
                          </a:xfrm>
                          <a:prstGeom prst="rect">
                            <a:avLst/>
                          </a:prstGeom>
                        </pic:spPr>
                      </pic:pic>
                    </a:graphicData>
                  </a:graphic>
                </wp:inline>
              </w:drawing>
            </w:r>
            <w:r>
              <w:rPr/>
              <w:t xml:space="preserve"> </w:t>
            </w:r>
          </w:p>
          <w:p>
            <w:pPr>
              <w:pStyle w:val="TableContents"/>
              <w:bidi w:val="0"/>
              <w:spacing w:lineRule="atLeast" w:line="255" w:before="126" w:after="283"/>
              <w:jc w:val="left"/>
              <w:rPr>
                <w:rFonts w:ascii="Tahoma;Geneva;sans-serif" w:hAnsi="Tahoma;Geneva;sans-serif"/>
                <w:b/>
              </w:rPr>
            </w:pPr>
            <w:r>
              <w:rPr>
                <w:rFonts w:ascii="Tahoma;Geneva;sans-serif" w:hAnsi="Tahoma;Geneva;sans-serif"/>
                <w:b/>
              </w:rPr>
              <w:t>TECHNOLOGY / IP</w:t>
            </w:r>
          </w:p>
          <w:p>
            <w:pPr>
              <w:pStyle w:val="TableContents"/>
              <w:bidi w:val="0"/>
              <w:spacing w:lineRule="atLeast" w:line="255" w:before="120" w:after="283"/>
              <w:jc w:val="left"/>
              <w:rPr/>
            </w:pPr>
            <w:r>
              <w:rPr>
                <w:spacing w:val="-1"/>
              </w:rPr>
              <w:t>Coherent product-relevant experience in technology or intellectual property matters.</w:t>
            </w:r>
            <w:r>
              <w:rPr/>
              <w:t xml:space="preserve"> </w:t>
            </w:r>
          </w:p>
        </w:tc>
        <w:tc>
          <w:tcPr>
            <w:tcW w:w="109" w:type="dxa"/>
            <w:tcBorders/>
            <w:vAlign w:val="center"/>
          </w:tcPr>
          <w:p>
            <w:pPr>
              <w:pStyle w:val="TableContents"/>
              <w:bidi w:val="0"/>
              <w:spacing w:before="0" w:after="283"/>
              <w:jc w:val="left"/>
              <w:rPr/>
            </w:pPr>
            <w:r>
              <w:rPr/>
              <w:t>​</w:t>
            </w:r>
          </w:p>
        </w:tc>
        <w:tc>
          <w:tcPr>
            <w:tcW w:w="254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8</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7" w:name="tTBIDV"/>
      <w:bookmarkEnd w:id="7"/>
      <w:r>
        <w:rPr>
          <w:rFonts w:ascii="calibri;arial;sans-serif" w:hAnsi="calibri;arial;sans-serif"/>
          <w:b w:val="false"/>
          <w:i w:val="false"/>
          <w:caps w:val="false"/>
          <w:smallCaps w:val="false"/>
          <w:sz w:val="18"/>
          <w:shd w:fill="E5E4E2" w:val="clear"/>
        </w:rPr>
        <w:t xml:space="preserve">​ </w:t>
      </w:r>
    </w:p>
    <w:p>
      <w:pPr>
        <w:pStyle w:val="TextBody"/>
        <w:bidi w:val="0"/>
        <w:spacing w:before="0" w:after="394"/>
        <w:ind w:left="0" w:right="40" w:hanging="0"/>
        <w:jc w:val="center"/>
        <w:rPr>
          <w:caps w:val="false"/>
          <w:smallCaps w:val="false"/>
          <w:color w:val="000000"/>
          <w:shd w:fill="FFFFFF" w:val="clear"/>
        </w:rPr>
      </w:pPr>
      <w:r>
        <w:rPr>
          <w:caps w:val="false"/>
          <w:smallCaps w:val="false"/>
          <w:color w:val="000000"/>
          <w:shd w:fill="FFFFFF" w:val="clear"/>
        </w:rPr>
        <w:drawing>
          <wp:inline distT="0" distB="0" distL="0" distR="0">
            <wp:extent cx="7543800" cy="9829800"/>
            <wp:effectExtent l="0" t="0" r="0" b="0"/>
            <wp:docPr id="221"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75" descr=""/>
                    <pic:cNvPicPr>
                      <a:picLocks noChangeAspect="1" noChangeArrowheads="1"/>
                    </pic:cNvPicPr>
                  </pic:nvPicPr>
                  <pic:blipFill>
                    <a:blip r:embed="rId185"/>
                    <a:stretch>
                      <a:fillRect/>
                    </a:stretch>
                  </pic:blipFill>
                  <pic:spPr bwMode="auto">
                    <a:xfrm>
                      <a:off x="0" y="0"/>
                      <a:ext cx="7543800" cy="9829800"/>
                    </a:xfrm>
                    <a:prstGeom prst="rect">
                      <a:avLst/>
                    </a:prstGeom>
                  </pic:spPr>
                </pic:pic>
              </a:graphicData>
            </a:graphic>
          </wp:inline>
        </w:drawing>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440" w:before="120" w:after="1776"/>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BOARD OF DIRECTORS</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Our Board is comprised of a broad range of talented leaders with a balance of professional experience, qualifications, attributes, and skills that best reflect the qualities that the Company seeks in its Board members. The Board is divided into three classes, each as nearly equal as possible in number of directors. At present, the Board consists of 14 members, with five directors each in Classes One and Two and four directors in Class Three.</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pacing w:val="-1"/>
          <w:sz w:val="19"/>
          <w:shd w:fill="FFFFFF" w:val="clear"/>
        </w:rPr>
      </w:pPr>
      <w:r>
        <w:rPr>
          <w:rFonts w:ascii="Arial;Helvetica;sans-serif" w:hAnsi="Arial;Helvetica;sans-serif"/>
          <w:b w:val="false"/>
          <w:i w:val="false"/>
          <w:caps w:val="false"/>
          <w:smallCaps w:val="false"/>
          <w:color w:val="000000"/>
          <w:spacing w:val="-1"/>
          <w:sz w:val="19"/>
          <w:shd w:fill="FFFFFF" w:val="clear"/>
        </w:rPr>
        <w:t xml:space="preserve">The current term of our Class Three directors expires at the Annual Meeting. The Board has nominated four directors — Joseph J. Corasanti, Patricia Hatter, Stephen A. Skaggs, and Sandeep Vij for election as Class Three directors, for a term of three years or until such time as their respective successors are elected and qualified, or until his or her death, resignation or removal. Any Board vacancy may be filled by a majority of the remaining directors then in office, and any director so elected will serve for the same term that the predecessor would have served, or until his or her earlier death, resignation or removal. </w:t>
      </w:r>
    </w:p>
    <w:tbl>
      <w:tblPr>
        <w:tblW w:w="9272" w:type="dxa"/>
        <w:jc w:val="left"/>
        <w:tblInd w:w="893" w:type="dxa"/>
        <w:tblLayout w:type="fixed"/>
        <w:tblCellMar>
          <w:top w:w="0" w:type="dxa"/>
          <w:left w:w="0" w:type="dxa"/>
          <w:bottom w:w="0" w:type="dxa"/>
          <w:right w:w="0" w:type="dxa"/>
        </w:tblCellMar>
      </w:tblPr>
      <w:tblGrid>
        <w:gridCol w:w="124"/>
        <w:gridCol w:w="2910"/>
        <w:gridCol w:w="109"/>
        <w:gridCol w:w="109"/>
        <w:gridCol w:w="109"/>
        <w:gridCol w:w="1582"/>
        <w:gridCol w:w="109"/>
        <w:gridCol w:w="109"/>
        <w:gridCol w:w="1869"/>
        <w:gridCol w:w="109"/>
        <w:gridCol w:w="109"/>
        <w:gridCol w:w="1869"/>
        <w:gridCol w:w="155"/>
      </w:tblGrid>
      <w:tr>
        <w:trPr/>
        <w:tc>
          <w:tcPr>
            <w:tcW w:w="124" w:type="dxa"/>
            <w:vMerge w:val="restart"/>
            <w:tcBorders/>
            <w:vAlign w:val="center"/>
          </w:tcPr>
          <w:p>
            <w:pPr>
              <w:pStyle w:val="TableContents"/>
              <w:bidi w:val="0"/>
              <w:spacing w:before="0" w:after="283"/>
              <w:jc w:val="left"/>
              <w:rPr/>
            </w:pPr>
            <w:r>
              <w:rPr/>
              <w:t>​</w:t>
            </w:r>
          </w:p>
        </w:tc>
        <w:tc>
          <w:tcPr>
            <w:tcW w:w="2910" w:type="dxa"/>
            <w:vMerge w:val="restart"/>
            <w:tcBorders/>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793240" cy="408940"/>
                      <wp:effectExtent l="0" t="0" r="0" b="0"/>
                      <wp:wrapNone/>
                      <wp:docPr id="222" name="Frame38"/>
                      <a:graphic xmlns:a="http://schemas.openxmlformats.org/drawingml/2006/main">
                        <a:graphicData uri="http://schemas.microsoft.com/office/word/2010/wordprocessingShape">
                          <wps:wsp>
                            <wps:cNvSpPr txBox="1"/>
                            <wps:spPr>
                              <a:xfrm>
                                <a:off x="0" y="0"/>
                                <a:ext cx="1793240" cy="408940"/>
                              </a:xfrm>
                              <a:prstGeom prst="rect"/>
                              <a:solidFill>
                                <a:srgbClr val="FFFFFF"/>
                              </a:solidFill>
                            </wps:spPr>
                            <wps:txbx>
                              <w:txbxContent>
                                <w:p>
                                  <w:pPr>
                                    <w:pStyle w:val="TextBody"/>
                                    <w:bidi w:val="0"/>
                                    <w:spacing w:before="0" w:after="283"/>
                                    <w:jc w:val="left"/>
                                    <w:rPr>
                                      <w:color w:val="000000"/>
                                      <w:sz w:val="28"/>
                                    </w:rPr>
                                  </w:pPr>
                                  <w:r>
                                    <w:rPr>
                                      <w:color w:val="000000"/>
                                      <w:sz w:val="28"/>
                                    </w:rPr>
                                    <w:t>BOARD OF DIREC</w:t>
                                    <w:softHyphen/>
                                    <w:t>TORS​</w:t>
                                  </w:r>
                                </w:p>
                              </w:txbxContent>
                            </wps:txbx>
                            <wps:bodyPr anchor="t" lIns="0" tIns="0" rIns="0" bIns="0">
                              <a:noAutofit/>
                            </wps:bodyPr>
                          </wps:wsp>
                        </a:graphicData>
                      </a:graphic>
                    </wp:anchor>
                  </w:drawing>
                </mc:Choice>
                <mc:Fallback>
                  <w:pict>
                    <v:rect style="position:absolute;rotation:-0;width:141.2pt;height:3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000000"/>
                                <w:sz w:val="28"/>
                              </w:rPr>
                            </w:pPr>
                            <w:r>
                              <w:rPr>
                                <w:color w:val="000000"/>
                                <w:sz w:val="28"/>
                              </w:rPr>
                              <w:t>BOARD OF DIREC</w:t>
                              <w:softHyphen/>
                              <w:t>TORS​</w:t>
                            </w:r>
                          </w:p>
                        </w:txbxContent>
                      </v:textbox>
                      <w10:wrap type="none"/>
                    </v:rect>
                  </w:pict>
                </mc:Fallback>
              </mc:AlternateConten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82" w:type="dxa"/>
            <w:tcBorders/>
            <w:shd w:fill="0068C7" w:val="clear"/>
            <w:vAlign w:val="center"/>
          </w:tcPr>
          <w:p>
            <w:pPr>
              <w:pStyle w:val="TableContents"/>
              <w:bidi w:val="0"/>
              <w:spacing w:lineRule="atLeast" w:line="270" w:before="0" w:after="0"/>
              <w:jc w:val="center"/>
              <w:rPr/>
            </w:pPr>
            <w:r>
              <w:rPr/>
              <w:t>CLASS THREE</w:t>
              <w:br/>
              <w:t>DIRECTOR NOMINEES</w:t>
              <w:br/>
              <w:t>TERM EXPIRING IN 2026​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69" w:type="dxa"/>
            <w:tcBorders/>
            <w:shd w:fill="4C4C4C" w:val="clear"/>
            <w:vAlign w:val="center"/>
          </w:tcPr>
          <w:p>
            <w:pPr>
              <w:pStyle w:val="TableContents"/>
              <w:bidi w:val="0"/>
              <w:spacing w:lineRule="atLeast" w:line="270" w:before="0" w:after="0"/>
              <w:jc w:val="center"/>
              <w:rPr/>
            </w:pPr>
            <w:r>
              <w:rPr/>
              <w:t>CLASS ONE</w:t>
              <w:br/>
              <w:t xml:space="preserve">CONTINUING DIRECTORS </w:t>
              <w:br/>
              <w:t>TERM EXPIRING IN 2027​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69" w:type="dxa"/>
            <w:tcBorders/>
            <w:shd w:fill="4C4C4C" w:val="clear"/>
            <w:vAlign w:val="center"/>
          </w:tcPr>
          <w:p>
            <w:pPr>
              <w:pStyle w:val="TableContents"/>
              <w:bidi w:val="0"/>
              <w:spacing w:lineRule="atLeast" w:line="270" w:before="0" w:after="0"/>
              <w:jc w:val="center"/>
              <w:rPr/>
            </w:pPr>
            <w:r>
              <w:rPr/>
              <w:t>CLASS TWO</w:t>
              <w:br/>
              <w:t xml:space="preserve">CONTINUING DIRECTORS </w:t>
              <w:br/>
              <w:t>TERM EXPIRING IN 2028</w:t>
            </w:r>
            <w:r>
              <w:rPr>
                <w:color w:val="000000"/>
              </w:rPr>
              <w:t>​</w:t>
            </w:r>
          </w:p>
        </w:tc>
        <w:tc>
          <w:tcPr>
            <w:tcW w:w="155"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2910" w:type="dxa"/>
            <w:vMerge w:val="continue"/>
            <w:tcBorders/>
            <w:tcMar>
              <w:top w:w="28" w:type="dxa"/>
              <w:left w:w="28" w:type="dxa"/>
              <w:bottom w:w="28" w:type="dxa"/>
              <w:right w:w="28" w:type="dxa"/>
            </w:tcMar>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582" w:type="dxa"/>
            <w:tcBorders/>
            <w:vAlign w:val="center"/>
          </w:tcPr>
          <w:p>
            <w:pPr>
              <w:pStyle w:val="TableContents"/>
              <w:bidi w:val="0"/>
              <w:spacing w:lineRule="atLeast" w:line="180" w:before="0" w:after="0"/>
              <w:ind w:left="300" w:right="0" w:hanging="0"/>
              <w:jc w:val="left"/>
              <w:rPr>
                <w:spacing w:val="-1"/>
              </w:rPr>
            </w:pPr>
            <w:r>
              <w:rPr>
                <w:spacing w:val="-1"/>
              </w:rPr>
              <w:t xml:space="preserve">Joseph J. Corasanti </w:t>
            </w:r>
            <w:r>
              <mc:AlternateContent>
                <mc:Choice Requires="wps">
                  <w:drawing>
                    <wp:anchor behindDoc="0" distT="0" distB="0" distL="76200" distR="0" simplePos="0" locked="0" layoutInCell="1" allowOverlap="1" relativeHeight="261">
                      <wp:simplePos x="0" y="0"/>
                      <wp:positionH relativeFrom="column">
                        <wp:align>left</wp:align>
                      </wp:positionH>
                      <wp:positionV relativeFrom="line">
                        <wp:posOffset>635</wp:posOffset>
                      </wp:positionV>
                      <wp:extent cx="114300" cy="350520"/>
                      <wp:effectExtent l="0" t="0" r="0" b="0"/>
                      <wp:wrapSquare wrapText="right"/>
                      <wp:docPr id="223" name="Frame3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6pt;mso-wrap-distance-right:0pt;mso-wrap-distance-top:0pt;mso-wrap-distance-bottom:0pt;margin-top:0pt;mso-position-vertical:top;mso-position-vertical-relative:text;margin-left:6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8" w:after="0"/>
              <w:ind w:left="300" w:right="0" w:hanging="0"/>
              <w:jc w:val="left"/>
              <w:rPr>
                <w:spacing w:val="-1"/>
              </w:rPr>
            </w:pPr>
            <w:r>
              <w:rPr>
                <w:spacing w:val="-1"/>
              </w:rPr>
              <w:t xml:space="preserve">Patricia Hatter </w:t>
            </w:r>
            <w:r>
              <mc:AlternateContent>
                <mc:Choice Requires="wps">
                  <w:drawing>
                    <wp:anchor behindDoc="0" distT="93980" distB="0" distL="76200" distR="0" simplePos="0" locked="0" layoutInCell="1" allowOverlap="1" relativeHeight="262">
                      <wp:simplePos x="0" y="0"/>
                      <wp:positionH relativeFrom="column">
                        <wp:align>left</wp:align>
                      </wp:positionH>
                      <wp:positionV relativeFrom="line">
                        <wp:align>top</wp:align>
                      </wp:positionV>
                      <wp:extent cx="114300" cy="350520"/>
                      <wp:effectExtent l="0" t="0" r="0" b="0"/>
                      <wp:wrapSquare wrapText="right"/>
                      <wp:docPr id="224" name="Frame4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6pt;mso-wrap-distance-right:0pt;mso-wrap-distance-top:7.4pt;mso-wrap-distance-bottom:0pt;margin-top:7.4pt;mso-position-vertical:top;mso-position-vertical-relative:text;margin-left:6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8" w:after="0"/>
              <w:ind w:left="300" w:right="0" w:hanging="0"/>
              <w:jc w:val="left"/>
              <w:rPr>
                <w:spacing w:val="-1"/>
              </w:rPr>
            </w:pPr>
            <w:r>
              <w:rPr>
                <w:spacing w:val="-1"/>
              </w:rPr>
              <w:t xml:space="preserve">Stephen A. Skaggs </w:t>
            </w:r>
            <w:r>
              <mc:AlternateContent>
                <mc:Choice Requires="wps">
                  <w:drawing>
                    <wp:anchor behindDoc="0" distT="93980" distB="0" distL="76200" distR="0" simplePos="0" locked="0" layoutInCell="1" allowOverlap="1" relativeHeight="263">
                      <wp:simplePos x="0" y="0"/>
                      <wp:positionH relativeFrom="column">
                        <wp:align>left</wp:align>
                      </wp:positionH>
                      <wp:positionV relativeFrom="line">
                        <wp:align>top</wp:align>
                      </wp:positionV>
                      <wp:extent cx="114300" cy="350520"/>
                      <wp:effectExtent l="0" t="0" r="0" b="0"/>
                      <wp:wrapSquare wrapText="right"/>
                      <wp:docPr id="225" name="Frame4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6pt;mso-wrap-distance-right:0pt;mso-wrap-distance-top:7.4pt;mso-wrap-distance-bottom:0pt;margin-top:7.4pt;mso-position-vertical:top;mso-position-vertical-relative:text;margin-left:6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8" w:after="0"/>
              <w:ind w:left="300" w:right="0" w:hanging="0"/>
              <w:jc w:val="left"/>
              <w:rPr>
                <w:spacing w:val="-1"/>
              </w:rPr>
            </w:pPr>
            <w:r>
              <w:rPr>
                <w:spacing w:val="-1"/>
              </w:rPr>
              <w:t xml:space="preserve">Sandeep Vij </w:t>
            </w:r>
            <w:r>
              <mc:AlternateContent>
                <mc:Choice Requires="wps">
                  <w:drawing>
                    <wp:anchor behindDoc="0" distT="93980" distB="0" distL="76200" distR="0" simplePos="0" locked="0" layoutInCell="1" allowOverlap="1" relativeHeight="264">
                      <wp:simplePos x="0" y="0"/>
                      <wp:positionH relativeFrom="column">
                        <wp:align>left</wp:align>
                      </wp:positionH>
                      <wp:positionV relativeFrom="line">
                        <wp:align>top</wp:align>
                      </wp:positionV>
                      <wp:extent cx="114300" cy="350520"/>
                      <wp:effectExtent l="0" t="0" r="0" b="0"/>
                      <wp:wrapSquare wrapText="right"/>
                      <wp:docPr id="226" name="Frame4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6pt;mso-wrap-distance-right:0pt;mso-wrap-distance-top:7.4pt;mso-wrap-distance-bottom:0pt;margin-top:7.4pt;mso-position-vertical:top;mso-position-vertical-relative:text;margin-left:6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69" w:type="dxa"/>
            <w:tcBorders/>
            <w:vAlign w:val="center"/>
          </w:tcPr>
          <w:p>
            <w:pPr>
              <w:pStyle w:val="TableContents"/>
              <w:bidi w:val="0"/>
              <w:spacing w:lineRule="atLeast" w:line="180" w:before="0" w:after="0"/>
              <w:ind w:left="300" w:right="0" w:hanging="0"/>
              <w:jc w:val="left"/>
              <w:rPr/>
            </w:pPr>
            <w:r>
              <w:rPr>
                <w:spacing w:val="-1"/>
              </w:rPr>
              <w:t>James R. Anderson</w:t>
            </w:r>
            <w:r>
              <w:rPr/>
              <w:t xml:space="preserve"> </w:t>
            </w:r>
            <w:r>
              <mc:AlternateContent>
                <mc:Choice Requires="wps">
                  <w:drawing>
                    <wp:anchor behindDoc="0" distT="0" distB="0" distL="76200" distR="0" simplePos="0" locked="0" layoutInCell="1" allowOverlap="1" relativeHeight="265">
                      <wp:simplePos x="0" y="0"/>
                      <wp:positionH relativeFrom="column">
                        <wp:align>left</wp:align>
                      </wp:positionH>
                      <wp:positionV relativeFrom="line">
                        <wp:posOffset>635</wp:posOffset>
                      </wp:positionV>
                      <wp:extent cx="114300" cy="350520"/>
                      <wp:effectExtent l="0" t="0" r="0" b="0"/>
                      <wp:wrapSquare wrapText="right"/>
                      <wp:docPr id="227" name="Frame4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6pt;mso-wrap-distance-right:0pt;mso-wrap-distance-top:0pt;mso-wrap-distance-bottom:0pt;margin-top:0pt;mso-position-vertical:top;mso-position-vertical-relative:text;margin-left:6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8" w:after="0"/>
              <w:ind w:left="300" w:right="0" w:hanging="0"/>
              <w:jc w:val="left"/>
              <w:rPr/>
            </w:pPr>
            <w:r>
              <w:rPr>
                <w:spacing w:val="-1"/>
              </w:rPr>
              <w:t>Michael L. Dreyer</w:t>
            </w:r>
            <w:r>
              <w:rPr/>
              <w:t xml:space="preserve"> </w:t>
            </w:r>
            <w:r>
              <mc:AlternateContent>
                <mc:Choice Requires="wps">
                  <w:drawing>
                    <wp:anchor behindDoc="0" distT="93980" distB="0" distL="76200" distR="0" simplePos="0" locked="0" layoutInCell="1" allowOverlap="1" relativeHeight="266">
                      <wp:simplePos x="0" y="0"/>
                      <wp:positionH relativeFrom="column">
                        <wp:align>left</wp:align>
                      </wp:positionH>
                      <wp:positionV relativeFrom="line">
                        <wp:align>top</wp:align>
                      </wp:positionV>
                      <wp:extent cx="114300" cy="350520"/>
                      <wp:effectExtent l="0" t="0" r="0" b="0"/>
                      <wp:wrapSquare wrapText="right"/>
                      <wp:docPr id="228" name="Frame4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6pt;mso-wrap-distance-right:0pt;mso-wrap-distance-top:7.4pt;mso-wrap-distance-bottom:0pt;margin-top:7.4pt;mso-position-vertical:top;mso-position-vertical-relative:text;margin-left:6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8" w:after="0"/>
              <w:ind w:left="300" w:right="0" w:hanging="0"/>
              <w:jc w:val="left"/>
              <w:rPr/>
            </w:pPr>
            <w:r>
              <w:rPr>
                <w:spacing w:val="-1"/>
              </w:rPr>
              <w:t>Stephen Pagliuca</w:t>
            </w:r>
            <w:r>
              <w:rPr/>
              <w:t xml:space="preserve"> </w:t>
            </w:r>
            <w:r>
              <mc:AlternateContent>
                <mc:Choice Requires="wps">
                  <w:drawing>
                    <wp:anchor behindDoc="0" distT="93980" distB="0" distL="76200" distR="0" simplePos="0" locked="0" layoutInCell="1" allowOverlap="1" relativeHeight="267">
                      <wp:simplePos x="0" y="0"/>
                      <wp:positionH relativeFrom="column">
                        <wp:align>left</wp:align>
                      </wp:positionH>
                      <wp:positionV relativeFrom="line">
                        <wp:align>top</wp:align>
                      </wp:positionV>
                      <wp:extent cx="114300" cy="350520"/>
                      <wp:effectExtent l="0" t="0" r="0" b="0"/>
                      <wp:wrapSquare wrapText="right"/>
                      <wp:docPr id="229" name="Frame4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6pt;mso-wrap-distance-right:0pt;mso-wrap-distance-top:7.4pt;mso-wrap-distance-bottom:0pt;margin-top:7.4pt;mso-position-vertical:top;mso-position-vertical-relative:text;margin-left:6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8" w:after="0"/>
              <w:ind w:left="300" w:right="0" w:hanging="0"/>
              <w:jc w:val="left"/>
              <w:rPr/>
            </w:pPr>
            <w:r>
              <w:rPr>
                <w:spacing w:val="-1"/>
              </w:rPr>
              <w:t>Elizabeth A. Patrick</w:t>
            </w:r>
            <w:r>
              <w:rPr/>
              <w:t xml:space="preserve"> </w:t>
            </w:r>
            <w:r>
              <mc:AlternateContent>
                <mc:Choice Requires="wps">
                  <w:drawing>
                    <wp:anchor behindDoc="0" distT="93980" distB="0" distL="76200" distR="0" simplePos="0" locked="0" layoutInCell="1" allowOverlap="1" relativeHeight="268">
                      <wp:simplePos x="0" y="0"/>
                      <wp:positionH relativeFrom="column">
                        <wp:align>left</wp:align>
                      </wp:positionH>
                      <wp:positionV relativeFrom="line">
                        <wp:align>top</wp:align>
                      </wp:positionV>
                      <wp:extent cx="114300" cy="350520"/>
                      <wp:effectExtent l="0" t="0" r="0" b="0"/>
                      <wp:wrapSquare wrapText="right"/>
                      <wp:docPr id="230" name="Frame4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6pt;mso-wrap-distance-right:0pt;mso-wrap-distance-top:7.4pt;mso-wrap-distance-bottom:0pt;margin-top:7.4pt;mso-position-vertical:top;mso-position-vertical-relative:text;margin-left:6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8" w:after="0"/>
              <w:ind w:left="300" w:right="0" w:hanging="0"/>
              <w:jc w:val="left"/>
              <w:rPr>
                <w:spacing w:val="-1"/>
              </w:rPr>
            </w:pPr>
            <w:r>
              <w:rPr>
                <w:spacing w:val="-1"/>
              </w:rPr>
              <w:t xml:space="preserve">Howard H. Xia </w:t>
            </w:r>
            <w:r>
              <mc:AlternateContent>
                <mc:Choice Requires="wps">
                  <w:drawing>
                    <wp:anchor behindDoc="0" distT="93980" distB="0" distL="76200" distR="0" simplePos="0" locked="0" layoutInCell="1" allowOverlap="1" relativeHeight="269">
                      <wp:simplePos x="0" y="0"/>
                      <wp:positionH relativeFrom="column">
                        <wp:align>left</wp:align>
                      </wp:positionH>
                      <wp:positionV relativeFrom="line">
                        <wp:align>top</wp:align>
                      </wp:positionV>
                      <wp:extent cx="114300" cy="350520"/>
                      <wp:effectExtent l="0" t="0" r="0" b="0"/>
                      <wp:wrapSquare wrapText="right"/>
                      <wp:docPr id="231" name="Frame4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6pt;mso-wrap-distance-right:0pt;mso-wrap-distance-top:7.4pt;mso-wrap-distance-bottom:0pt;margin-top:7.4pt;mso-position-vertical:top;mso-position-vertical-relative:text;margin-left:6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69" w:type="dxa"/>
            <w:tcBorders/>
            <w:vAlign w:val="center"/>
          </w:tcPr>
          <w:p>
            <w:pPr>
              <w:pStyle w:val="TableContents"/>
              <w:bidi w:val="0"/>
              <w:spacing w:lineRule="atLeast" w:line="248" w:before="0" w:after="0"/>
              <w:ind w:left="300" w:right="0" w:hanging="0"/>
              <w:jc w:val="left"/>
              <w:rPr/>
            </w:pPr>
            <w:r>
              <w:rPr>
                <w:spacing w:val="-1"/>
              </w:rPr>
              <w:t xml:space="preserve">Enrico DiGirolamo </w:t>
              <w:br/>
              <w:t>(Independent Board Chair)</w:t>
            </w:r>
            <w:r>
              <w:rPr/>
              <w:t xml:space="preserve"> </w:t>
            </w:r>
            <w:r>
              <mc:AlternateContent>
                <mc:Choice Requires="wps">
                  <w:drawing>
                    <wp:anchor behindDoc="0" distT="0" distB="0" distL="76200" distR="0" simplePos="0" locked="0" layoutInCell="1" allowOverlap="1" relativeHeight="270">
                      <wp:simplePos x="0" y="0"/>
                      <wp:positionH relativeFrom="column">
                        <wp:align>left</wp:align>
                      </wp:positionH>
                      <wp:positionV relativeFrom="line">
                        <wp:posOffset>635</wp:posOffset>
                      </wp:positionV>
                      <wp:extent cx="114300" cy="350520"/>
                      <wp:effectExtent l="0" t="0" r="0" b="0"/>
                      <wp:wrapSquare wrapText="right"/>
                      <wp:docPr id="232" name="Frame4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48"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6pt;mso-wrap-distance-right:0pt;mso-wrap-distance-top:0pt;mso-wrap-distance-bottom:0pt;margin-top:0pt;mso-position-vertical:top;mso-position-vertical-relative:text;margin-left:6pt;mso-position-horizontal:left;mso-position-horizontal-relative:text">
                      <v:textbox>
                        <w:txbxContent>
                          <w:p>
                            <w:pPr>
                              <w:pStyle w:val="TextBody"/>
                              <w:bidi w:val="0"/>
                              <w:spacing w:lineRule="atLeast" w:line="248"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8" w:after="0"/>
              <w:ind w:left="300" w:right="0" w:hanging="0"/>
              <w:jc w:val="left"/>
              <w:rPr/>
            </w:pPr>
            <w:r>
              <w:rPr>
                <w:spacing w:val="-1"/>
              </w:rPr>
              <w:t>David L. Motley</w:t>
            </w:r>
            <w:r>
              <w:rPr/>
              <w:t xml:space="preserve"> </w:t>
            </w:r>
            <w:r>
              <mc:AlternateContent>
                <mc:Choice Requires="wps">
                  <w:drawing>
                    <wp:anchor behindDoc="0" distT="93980" distB="0" distL="76200" distR="0" simplePos="0" locked="0" layoutInCell="1" allowOverlap="1" relativeHeight="271">
                      <wp:simplePos x="0" y="0"/>
                      <wp:positionH relativeFrom="column">
                        <wp:align>left</wp:align>
                      </wp:positionH>
                      <wp:positionV relativeFrom="line">
                        <wp:align>top</wp:align>
                      </wp:positionV>
                      <wp:extent cx="114300" cy="350520"/>
                      <wp:effectExtent l="0" t="0" r="0" b="0"/>
                      <wp:wrapSquare wrapText="right"/>
                      <wp:docPr id="233" name="Frame4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6pt;mso-wrap-distance-right:0pt;mso-wrap-distance-top:7.4pt;mso-wrap-distance-bottom:0pt;margin-top:7.4pt;mso-position-vertical:top;mso-position-vertical-relative:text;margin-left:6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8" w:after="0"/>
              <w:ind w:left="300" w:right="0" w:hanging="0"/>
              <w:jc w:val="left"/>
              <w:rPr/>
            </w:pPr>
            <w:r>
              <w:rPr>
                <w:spacing w:val="-1"/>
              </w:rPr>
              <w:t>Lisa Neal-Graves</w:t>
            </w:r>
            <w:r>
              <w:rPr/>
              <w:t xml:space="preserve"> </w:t>
            </w:r>
            <w:r>
              <mc:AlternateContent>
                <mc:Choice Requires="wps">
                  <w:drawing>
                    <wp:anchor behindDoc="0" distT="93980" distB="0" distL="76200" distR="0" simplePos="0" locked="0" layoutInCell="1" allowOverlap="1" relativeHeight="272">
                      <wp:simplePos x="0" y="0"/>
                      <wp:positionH relativeFrom="column">
                        <wp:align>left</wp:align>
                      </wp:positionH>
                      <wp:positionV relativeFrom="line">
                        <wp:align>top</wp:align>
                      </wp:positionV>
                      <wp:extent cx="114300" cy="350520"/>
                      <wp:effectExtent l="0" t="0" r="0" b="0"/>
                      <wp:wrapSquare wrapText="right"/>
                      <wp:docPr id="234" name="Frame5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6pt;mso-wrap-distance-right:0pt;mso-wrap-distance-top:7.4pt;mso-wrap-distance-bottom:0pt;margin-top:7.4pt;mso-position-vertical:top;mso-position-vertical-relative:text;margin-left:6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8" w:after="0"/>
              <w:ind w:left="300" w:right="0" w:hanging="0"/>
              <w:jc w:val="left"/>
              <w:rPr/>
            </w:pPr>
            <w:r>
              <w:rPr>
                <w:spacing w:val="-1"/>
              </w:rPr>
              <w:t>Shaker Sadasivam</w:t>
            </w:r>
            <w:r>
              <w:rPr/>
              <w:t xml:space="preserve"> </w:t>
            </w:r>
            <w:r>
              <mc:AlternateContent>
                <mc:Choice Requires="wps">
                  <w:drawing>
                    <wp:anchor behindDoc="0" distT="93980" distB="0" distL="76200" distR="0" simplePos="0" locked="0" layoutInCell="1" allowOverlap="1" relativeHeight="273">
                      <wp:simplePos x="0" y="0"/>
                      <wp:positionH relativeFrom="column">
                        <wp:align>left</wp:align>
                      </wp:positionH>
                      <wp:positionV relativeFrom="line">
                        <wp:align>top</wp:align>
                      </wp:positionV>
                      <wp:extent cx="114300" cy="350520"/>
                      <wp:effectExtent l="0" t="0" r="0" b="0"/>
                      <wp:wrapSquare wrapText="right"/>
                      <wp:docPr id="235" name="Frame5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6pt;mso-wrap-distance-right:0pt;mso-wrap-distance-top:7.4pt;mso-wrap-distance-bottom:0pt;margin-top:7.4pt;mso-position-vertical:top;mso-position-vertical-relative:text;margin-left:6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8" w:after="0"/>
              <w:ind w:left="300" w:right="0" w:hanging="0"/>
              <w:jc w:val="left"/>
              <w:rPr/>
            </w:pPr>
            <w:r>
              <w:rPr>
                <w:spacing w:val="-1"/>
              </w:rPr>
              <w:t>Michelle Sterling</w:t>
            </w:r>
            <w:r>
              <w:rPr/>
              <w:t xml:space="preserve"> </w:t>
            </w:r>
            <w:r>
              <mc:AlternateContent>
                <mc:Choice Requires="wps">
                  <w:drawing>
                    <wp:anchor behindDoc="0" distT="93980" distB="0" distL="76200" distR="0" simplePos="0" locked="0" layoutInCell="1" allowOverlap="1" relativeHeight="274">
                      <wp:simplePos x="0" y="0"/>
                      <wp:positionH relativeFrom="column">
                        <wp:align>left</wp:align>
                      </wp:positionH>
                      <wp:positionV relativeFrom="line">
                        <wp:align>top</wp:align>
                      </wp:positionV>
                      <wp:extent cx="114300" cy="350520"/>
                      <wp:effectExtent l="0" t="0" r="0" b="0"/>
                      <wp:wrapSquare wrapText="right"/>
                      <wp:docPr id="236" name="Frame5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6pt;mso-wrap-distance-right:0pt;mso-wrap-distance-top:7.4pt;mso-wrap-distance-bottom:0pt;margin-top:7.4pt;mso-position-vertical:top;mso-position-vertical-relative:text;margin-left:6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50" w:before="320" w:after="283"/>
        <w:ind w:left="89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persons named as proxies for this Annual Meeting were selected by the Board and have advised the Board that, unless authority is withheld, they intend to vote the shares represented by validly submitted proxies FOR the election of each of the nominees listed above as Class Three directors.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Each of the nominees has consented to serve if elected. However, if any of them is unable or unwilling to serve as a director, the Board may designate a substitute nominee, in which case the persons named as proxies will vote for any substitute nominee proposed by the Board.</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DIRECTOR CONDITIONAL RESIGNATION POLICY</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pacing w:val="-1"/>
          <w:sz w:val="19"/>
          <w:shd w:fill="FFFFFF" w:val="clear"/>
        </w:rPr>
      </w:pPr>
      <w:r>
        <w:rPr>
          <w:rFonts w:ascii="Arial;Helvetica;sans-serif" w:hAnsi="Arial;Helvetica;sans-serif"/>
          <w:b w:val="false"/>
          <w:i w:val="false"/>
          <w:caps w:val="false"/>
          <w:smallCaps w:val="false"/>
          <w:color w:val="000000"/>
          <w:spacing w:val="-1"/>
          <w:sz w:val="19"/>
          <w:shd w:fill="FFFFFF" w:val="clear"/>
        </w:rPr>
        <w:t xml:space="preserve">Each incumbent director nominee has submitted an irrevocable conditional resignation, which is effective if the nominee receives a greater number of votes “AGAINST” than votes “FOR” that person’s election. If this occurs, the Nominating and Corporate Governance Committee (the “NCG Committee”) will recommend to the Board whether to accept or reject the resignation. The Board will act on the resignation, taking into account the NCG Committee’s recommendation, and publicly disclose its decision, and the underlying rationale, within 90 days after the date the election results are certified. The incumbent director will remain as a member of the Board during this process, but will not participate in the NCG Committee’s recommendation of the Board’s action regarding whether to accept or reject his or her tender of resignation.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10</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440" w:before="120" w:after="4605"/>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color w:val="000000"/>
          <w:sz w:val="40"/>
          <w:shd w:fill="FFFFFF" w:val="clear"/>
        </w:rPr>
        <w:t>BOARD PROFILE</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20" w:after="283"/>
        <w:jc w:val="left"/>
        <w:rPr>
          <w:rFonts w:ascii="Arial;Helvetica;sans-serif" w:hAnsi="Arial;Helvetica;sans-serif"/>
          <w:b w:val="false"/>
          <w:i/>
          <w:caps w:val="false"/>
          <w:smallCaps w:val="false"/>
          <w:color w:val="000000"/>
          <w:sz w:val="19"/>
          <w:shd w:fill="FFFFFF" w:val="clear"/>
        </w:rPr>
      </w:pPr>
      <w:r>
        <w:rPr>
          <w:rFonts w:ascii="Arial;Helvetica;sans-serif" w:hAnsi="Arial;Helvetica;sans-serif"/>
          <w:b w:val="false"/>
          <w:i/>
          <w:caps w:val="false"/>
          <w:smallCaps w:val="false"/>
          <w:color w:val="000000"/>
          <w:sz w:val="19"/>
          <w:shd w:fill="FFFFFF" w:val="clear"/>
        </w:rPr>
        <w:t>As of June 30, 2026</w:t>
      </w:r>
      <w:r>
        <w:rPr>
          <w:rFonts w:ascii="Arial;Helvetica;sans-serif" w:hAnsi="Arial;Helvetica;sans-serif"/>
          <w:b w:val="false"/>
          <w:i/>
          <w:caps w:val="false"/>
          <w:smallCaps w:val="false"/>
          <w:color w:val="000000"/>
          <w:spacing w:val="4"/>
          <w:sz w:val="19"/>
          <w:shd w:fill="FFFFFF" w:val="clear"/>
        </w:rPr>
        <w:t xml:space="preserve"> </w:t>
      </w:r>
    </w:p>
    <w:p>
      <w:pPr>
        <w:pStyle w:val="TextBody"/>
        <w:bidi w:val="0"/>
        <w:spacing w:before="250" w:after="283"/>
        <w:jc w:val="center"/>
        <w:rPr>
          <w:caps w:val="false"/>
          <w:smallCaps w:val="false"/>
          <w:color w:val="000000"/>
          <w:shd w:fill="FFFFFF" w:val="clear"/>
        </w:rPr>
      </w:pPr>
      <w:r>
        <w:rPr>
          <w:caps w:val="false"/>
          <w:smallCaps w:val="false"/>
          <w:color w:val="000000"/>
          <w:shd w:fill="FFFFFF" w:val="clear"/>
        </w:rPr>
        <w:drawing>
          <wp:inline distT="0" distB="0" distL="0" distR="0">
            <wp:extent cx="4533900" cy="4638675"/>
            <wp:effectExtent l="0" t="0" r="0" b="0"/>
            <wp:docPr id="237"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76" descr=""/>
                    <pic:cNvPicPr>
                      <a:picLocks noChangeAspect="1" noChangeArrowheads="1"/>
                    </pic:cNvPicPr>
                  </pic:nvPicPr>
                  <pic:blipFill>
                    <a:blip r:embed="rId186"/>
                    <a:stretch>
                      <a:fillRect/>
                    </a:stretch>
                  </pic:blipFill>
                  <pic:spPr bwMode="auto">
                    <a:xfrm>
                      <a:off x="0" y="0"/>
                      <a:ext cx="4533900" cy="463867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11</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8" w:name="tCTDS"/>
      <w:bookmarkEnd w:id="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440" w:before="120" w:after="490"/>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CLASS THREE DIRECTOR NOMINEES STANDING FOR ELECTION</w:t>
      </w:r>
      <w:r>
        <w:rPr>
          <w:rFonts w:ascii="Tahoma;Geneva;sans-serif" w:hAnsi="Tahoma;Geneva;sans-serif"/>
          <w:b/>
          <w:i w:val="false"/>
          <w:caps w:val="false"/>
          <w:smallCaps w:val="false"/>
          <w:color w:val="000000"/>
          <w:spacing w:val="8"/>
          <w:sz w:val="40"/>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1914"/>
        <w:gridCol w:w="109"/>
        <w:gridCol w:w="109"/>
        <w:gridCol w:w="6861"/>
        <w:gridCol w:w="155"/>
      </w:tblGrid>
      <w:tr>
        <w:trPr/>
        <w:tc>
          <w:tcPr>
            <w:tcW w:w="124" w:type="dxa"/>
            <w:tcBorders/>
            <w:vAlign w:val="center"/>
          </w:tcPr>
          <w:p>
            <w:pPr>
              <w:pStyle w:val="TableContents"/>
              <w:bidi w:val="0"/>
              <w:spacing w:before="0" w:after="283"/>
              <w:jc w:val="left"/>
              <w:rPr/>
            </w:pPr>
            <w:r>
              <w:rPr/>
              <w:t>​</w:t>
            </w:r>
          </w:p>
        </w:tc>
        <w:tc>
          <w:tcPr>
            <w:tcW w:w="8993" w:type="dxa"/>
            <w:gridSpan w:val="4"/>
            <w:tcBorders/>
            <w:vAlign w:val="center"/>
          </w:tcPr>
          <w:p>
            <w:pPr>
              <w:pStyle w:val="TableContents"/>
              <w:bidi w:val="0"/>
              <w:spacing w:before="0" w:after="283"/>
              <w:jc w:val="left"/>
              <w:rPr/>
            </w:pPr>
            <w:r>
              <w:rPr/>
              <w:t>JOSEPH J. CORASANTI</w:t>
            </w:r>
            <w:r>
              <w:rPr>
                <w:color w:val="000000"/>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14" w:type="dxa"/>
            <w:tcBorders/>
            <w:vAlign w:val="center"/>
          </w:tcPr>
          <w:p>
            <w:pPr>
              <w:pStyle w:val="TableContents"/>
              <w:bidi w:val="0"/>
              <w:spacing w:lineRule="atLeast" w:line="310" w:before="0" w:after="0"/>
              <w:jc w:val="left"/>
              <w:rPr>
                <w:rFonts w:ascii="Tahoma;Geneva;sans-serif" w:hAnsi="Tahoma;Geneva;sans-serif"/>
                <w:b/>
                <w:sz w:val="24"/>
              </w:rPr>
            </w:pPr>
            <w:r>
              <w:rPr>
                <w:rFonts w:ascii="Tahoma;Geneva;sans-serif" w:hAnsi="Tahoma;Geneva;sans-serif"/>
                <w:b/>
                <w:sz w:val="24"/>
              </w:rPr>
              <w:t>INDEPENDENT DIRECTOR​</w:t>
            </w:r>
          </w:p>
        </w:tc>
        <w:tc>
          <w:tcPr>
            <w:tcW w:w="109" w:type="dxa"/>
            <w:tcBorders/>
            <w:vAlign w:val="center"/>
          </w:tcPr>
          <w:p>
            <w:pPr>
              <w:pStyle w:val="TableContents"/>
              <w:bidi w:val="0"/>
              <w:spacing w:before="0" w:after="283"/>
              <w:jc w:val="left"/>
              <w:rPr/>
            </w:pPr>
            <w:r>
              <w:rPr/>
              <w:t>​</w:t>
            </w:r>
          </w:p>
        </w:tc>
        <w:tc>
          <w:tcPr>
            <w:tcW w:w="109" w:type="dxa"/>
            <w:vMerge w:val="restart"/>
            <w:tcBorders>
              <w:bottom w:val="single" w:sz="6" w:space="0" w:color="666666"/>
            </w:tcBorders>
            <w:tcMar>
              <w:bottom w:w="28" w:type="dxa"/>
            </w:tcMar>
            <w:vAlign w:val="center"/>
          </w:tcPr>
          <w:p>
            <w:pPr>
              <w:pStyle w:val="TableContents"/>
              <w:bidi w:val="0"/>
              <w:spacing w:before="0" w:after="283"/>
              <w:jc w:val="left"/>
              <w:rPr/>
            </w:pPr>
            <w:r>
              <w:rPr/>
              <w:t>​</w:t>
            </w:r>
          </w:p>
        </w:tc>
        <w:tc>
          <w:tcPr>
            <w:tcW w:w="6861" w:type="dxa"/>
            <w:vMerge w:val="restart"/>
            <w:tcBorders>
              <w:bottom w:val="single" w:sz="6" w:space="0" w:color="666666"/>
            </w:tcBorders>
            <w:tcMar>
              <w:bottom w:w="28" w:type="dxa"/>
            </w:tcMar>
            <w:vAlign w:val="center"/>
          </w:tcPr>
          <w:p>
            <w:pPr>
              <w:pStyle w:val="TableContents"/>
              <w:bidi w:val="0"/>
              <w:spacing w:lineRule="atLeast" w:line="245" w:before="0" w:after="0"/>
              <w:jc w:val="left"/>
              <w:rPr/>
            </w:pPr>
            <w:r>
              <w:rPr>
                <w:spacing w:val="-1"/>
              </w:rPr>
              <w:t>Mr. Corasanti is a former public company CEO with a strong track record in corporate leadership, M&amp;A execution, and governance across the medical technology and defense sectors. His legal background and deep board experience enhance the Board’s capabilities in risk oversight, strategic growth and regulatory compliance.</w:t>
            </w:r>
            <w:r>
              <w:rPr/>
              <w:t xml:space="preserve"> </w:t>
            </w:r>
          </w:p>
          <w:p>
            <w:pPr>
              <w:pStyle w:val="TableContents"/>
              <w:bidi w:val="0"/>
              <w:spacing w:lineRule="atLeast" w:line="245" w:before="180" w:after="283"/>
              <w:jc w:val="left"/>
              <w:rPr/>
            </w:pPr>
            <w:r>
              <w:rPr>
                <w:spacing w:val="-1"/>
              </w:rPr>
              <w:t>Mr. Corasanti presently serves as a member of the Board of Directors of SRC, Inc., a company that designs, manufactures and sells products and services for the defense industry. Previously, Mr. Corasanti held a number of management roles at CONMED Corporation, a medical technology company, serving as President and Chief Executive Officer from 2006 to July 2014; President and Chief Operating Officer from 1999 to 2006; Executive Vice President/General Manager from 1998 to 1999; and General Counsel and Vice President-Legal Affairs from 1993 to 1998. He also served as a director of CONMED from 1994 to 2014. From 1990 to 1993, he was an Associate Attorney with the Los Angeles office of the law firm of Morgan, Wenzel &amp; McNicholas.</w:t>
            </w:r>
            <w:r>
              <w:rPr/>
              <w:t xml:space="preserve"> </w:t>
            </w:r>
          </w:p>
          <w:p>
            <w:pPr>
              <w:pStyle w:val="TableContents"/>
              <w:bidi w:val="0"/>
              <w:spacing w:lineRule="atLeast" w:line="245" w:before="180" w:after="283"/>
              <w:jc w:val="left"/>
              <w:rPr/>
            </w:pPr>
            <w:r>
              <w:rPr>
                <w:spacing w:val="-1"/>
              </w:rPr>
              <w:t>Mr. Corasanti holds a B.A. degree in Political Science from Hobart College and a JD from Whittier College School of Law.</w:t>
            </w:r>
            <w:r>
              <w:rPr/>
              <w:t xml:space="preserve"> </w:t>
            </w:r>
          </w:p>
        </w:tc>
        <w:tc>
          <w:tcPr>
            <w:tcW w:w="155" w:type="dxa"/>
            <w:vMerge w:val="restart"/>
            <w:tcBorders>
              <w:bottom w:val="single" w:sz="6" w:space="0" w:color="666666"/>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14" w:type="dxa"/>
            <w:tcBorders/>
            <w:vAlign w:val="center"/>
          </w:tcPr>
          <w:p>
            <w:pPr>
              <w:pStyle w:val="TableContents"/>
              <w:bidi w:val="0"/>
              <w:spacing w:before="0" w:after="0"/>
              <w:jc w:val="left"/>
              <w:rPr/>
            </w:pPr>
            <w:r>
              <w:rPr>
                <w:spacing w:val="-1"/>
              </w:rPr>
              <w:t>Class: Three</w:t>
            </w:r>
            <w:r>
              <w:rPr/>
              <w:t xml:space="preserve"> </w:t>
            </w:r>
          </w:p>
          <w:p>
            <w:pPr>
              <w:pStyle w:val="TableContents"/>
              <w:bidi w:val="0"/>
              <w:spacing w:before="120" w:after="283"/>
              <w:jc w:val="left"/>
              <w:rPr/>
            </w:pPr>
            <w:r>
              <w:rPr>
                <w:spacing w:val="-1"/>
              </w:rPr>
              <w:t>Director Since: 2002</w:t>
            </w:r>
            <w:r>
              <w:rPr/>
              <w:t xml:space="preserve"> </w:t>
            </w:r>
          </w:p>
          <w:p>
            <w:pPr>
              <w:pStyle w:val="TableContents"/>
              <w:bidi w:val="0"/>
              <w:spacing w:before="120" w:after="283"/>
              <w:jc w:val="left"/>
              <w:rPr/>
            </w:pPr>
            <w:r>
              <w:rPr>
                <w:spacing w:val="-1"/>
              </w:rPr>
              <w:t>Term Expires: 2026</w:t>
            </w:r>
            <w:r>
              <w:rPr/>
              <w:t xml:space="preserve"> </w:t>
            </w:r>
          </w:p>
          <w:p>
            <w:pPr>
              <w:pStyle w:val="TableContents"/>
              <w:bidi w:val="0"/>
              <w:spacing w:before="120" w:after="283"/>
              <w:jc w:val="left"/>
              <w:rPr/>
            </w:pPr>
            <w:r>
              <w:rPr>
                <w:spacing w:val="-1"/>
              </w:rPr>
              <w:t>Age: 62</w:t>
            </w:r>
            <w:r>
              <w:rPr/>
              <w:t xml:space="preserve"> </w:t>
            </w:r>
          </w:p>
          <w:p>
            <w:pPr>
              <w:pStyle w:val="TableContents"/>
              <w:bidi w:val="0"/>
              <w:spacing w:before="340" w:after="283"/>
              <w:jc w:val="left"/>
              <w:rPr>
                <w:rFonts w:ascii="Tahoma;Geneva;sans-serif" w:hAnsi="Tahoma;Geneva;sans-serif"/>
                <w:b/>
                <w:sz w:val="24"/>
              </w:rPr>
            </w:pPr>
            <w:r>
              <w:rPr>
                <w:rFonts w:ascii="Tahoma;Geneva;sans-serif" w:hAnsi="Tahoma;Geneva;sans-serif"/>
                <w:b/>
                <w:caps/>
                <w:sz w:val="24"/>
              </w:rPr>
              <w:t>BOARD COMMITTEES</w:t>
            </w:r>
            <w:r>
              <w:rPr>
                <w:rFonts w:ascii="Tahoma;Geneva;sans-serif" w:hAnsi="Tahoma;Geneva;sans-serif"/>
                <w:b/>
                <w:sz w:val="24"/>
              </w:rPr>
              <w:t xml:space="preserve"> </w:t>
            </w:r>
          </w:p>
          <w:p>
            <w:pPr>
              <w:pStyle w:val="TableContents"/>
              <w:bidi w:val="0"/>
              <w:spacing w:before="70" w:after="283"/>
              <w:jc w:val="left"/>
              <w:rPr/>
            </w:pPr>
            <w:r>
              <w:rPr>
                <w:spacing w:val="-1"/>
              </w:rPr>
              <w:t>Audit and Risk</w:t>
            </w:r>
            <w:r>
              <w:rPr/>
              <w:t xml:space="preserve"> </w:t>
            </w:r>
          </w:p>
          <w:p>
            <w:pPr>
              <w:pStyle w:val="TableContents"/>
              <w:bidi w:val="0"/>
              <w:spacing w:lineRule="atLeast" w:line="245" w:before="120" w:after="283"/>
              <w:jc w:val="left"/>
              <w:rPr/>
            </w:pPr>
            <w:r>
              <w:rPr>
                <w:spacing w:val="-1"/>
              </w:rPr>
              <w:t>Nominating and Corporate Governance (Chair)</w:t>
            </w:r>
            <w:r>
              <w:rPr/>
              <w:t xml:space="preserve"> </w:t>
            </w:r>
          </w:p>
          <w:p>
            <w:pPr>
              <w:pStyle w:val="TableContents"/>
              <w:bidi w:val="0"/>
              <w:spacing w:before="340" w:after="283"/>
              <w:jc w:val="left"/>
              <w:rPr>
                <w:rFonts w:ascii="Tahoma;Geneva;sans-serif" w:hAnsi="Tahoma;Geneva;sans-serif"/>
                <w:b/>
                <w:sz w:val="24"/>
              </w:rPr>
            </w:pPr>
            <w:r>
              <w:rPr>
                <w:rFonts w:ascii="Tahoma;Geneva;sans-serif" w:hAnsi="Tahoma;Geneva;sans-serif"/>
                <w:b/>
                <w:sz w:val="24"/>
              </w:rPr>
              <w:t>OTHER PUBLIC COMPANY</w:t>
            </w:r>
          </w:p>
          <w:p>
            <w:pPr>
              <w:pStyle w:val="TableContents"/>
              <w:bidi w:val="0"/>
              <w:spacing w:lineRule="atLeast" w:line="175" w:before="20" w:after="283"/>
              <w:jc w:val="left"/>
              <w:rPr>
                <w:rFonts w:ascii="Tahoma;Geneva;sans-serif" w:hAnsi="Tahoma;Geneva;sans-serif"/>
                <w:b/>
                <w:sz w:val="24"/>
              </w:rPr>
            </w:pPr>
            <w:r>
              <w:rPr>
                <w:rFonts w:ascii="Tahoma;Geneva;sans-serif" w:hAnsi="Tahoma;Geneva;sans-serif"/>
                <w:b/>
                <w:sz w:val="24"/>
              </w:rPr>
              <w:t>BOARDS</w:t>
            </w:r>
            <w:r>
              <w:rPr>
                <w:rFonts w:ascii="Tahoma;Geneva;sans-serif" w:hAnsi="Tahoma;Geneva;sans-serif"/>
                <w:b/>
                <w:spacing w:val="-1"/>
                <w:sz w:val="24"/>
              </w:rPr>
              <w:t xml:space="preserve"> </w:t>
            </w:r>
            <w:r>
              <w:rPr>
                <w:rFonts w:ascii="Arial;Helvetica;sans-serif" w:hAnsi="Arial;Helvetica;sans-serif"/>
                <w:b w:val="false"/>
                <w:spacing w:val="-1"/>
                <w:sz w:val="18"/>
              </w:rPr>
              <w:t>(past five years)</w:t>
            </w:r>
          </w:p>
          <w:p>
            <w:pPr>
              <w:pStyle w:val="TableContents"/>
              <w:bidi w:val="0"/>
              <w:spacing w:before="70" w:after="283"/>
              <w:jc w:val="left"/>
              <w:rPr/>
            </w:pPr>
            <w:r>
              <w:rPr>
                <w:spacing w:val="-1"/>
              </w:rPr>
              <w:t>None</w:t>
            </w:r>
            <w:r>
              <w:rPr/>
              <w:t xml:space="preserve"> </w:t>
            </w:r>
          </w:p>
        </w:tc>
        <w:tc>
          <w:tcPr>
            <w:tcW w:w="109" w:type="dxa"/>
            <w:tcBorders/>
            <w:vAlign w:val="center"/>
          </w:tcPr>
          <w:p>
            <w:pPr>
              <w:pStyle w:val="TableContents"/>
              <w:bidi w:val="0"/>
              <w:spacing w:before="0" w:after="283"/>
              <w:jc w:val="left"/>
              <w:rPr/>
            </w:pPr>
            <w:r>
              <w:rPr/>
              <w:t>​</w:t>
            </w:r>
          </w:p>
        </w:tc>
        <w:tc>
          <w:tcPr>
            <w:tcW w:w="109" w:type="dxa"/>
            <w:vMerge w:val="continue"/>
            <w:tcBorders>
              <w:bottom w:val="single" w:sz="6" w:space="0" w:color="666666"/>
            </w:tcBorders>
            <w:tcMar>
              <w:bottom w:w="28" w:type="dxa"/>
            </w:tcMar>
            <w:vAlign w:val="center"/>
          </w:tcPr>
          <w:p>
            <w:pPr>
              <w:pStyle w:val="Normal"/>
              <w:bidi w:val="0"/>
              <w:jc w:val="left"/>
              <w:rPr/>
            </w:pPr>
            <w:r>
              <w:rPr/>
            </w:r>
          </w:p>
        </w:tc>
        <w:tc>
          <w:tcPr>
            <w:tcW w:w="6861" w:type="dxa"/>
            <w:vMerge w:val="continue"/>
            <w:tcBorders>
              <w:bottom w:val="single" w:sz="6" w:space="0" w:color="666666"/>
            </w:tcBorders>
            <w:tcMar>
              <w:bottom w:w="28" w:type="dxa"/>
            </w:tcMar>
            <w:vAlign w:val="center"/>
          </w:tcPr>
          <w:p>
            <w:pPr>
              <w:pStyle w:val="Normal"/>
              <w:bidi w:val="0"/>
              <w:jc w:val="left"/>
              <w:rPr/>
            </w:pPr>
            <w:r>
              <w:rPr/>
            </w:r>
          </w:p>
        </w:tc>
        <w:tc>
          <w:tcPr>
            <w:tcW w:w="155" w:type="dxa"/>
            <w:vMerge w:val="continue"/>
            <w:tcBorders>
              <w:bottom w:val="single" w:sz="6" w:space="0" w:color="666666"/>
            </w:tcBorders>
            <w:tcMar>
              <w:bottom w:w="28" w:type="dxa"/>
            </w:tcMar>
            <w:vAlign w:val="center"/>
          </w:tcPr>
          <w:p>
            <w:pPr>
              <w:pStyle w:val="Normal"/>
              <w:bidi w:val="0"/>
              <w:jc w:val="left"/>
              <w:rPr/>
            </w:pPr>
            <w:r>
              <w:rPr/>
            </w:r>
          </w:p>
        </w:tc>
      </w:tr>
    </w:tbl>
    <w:tbl>
      <w:tblPr>
        <w:tblW w:w="9272" w:type="dxa"/>
        <w:jc w:val="left"/>
        <w:tblInd w:w="893" w:type="dxa"/>
        <w:tblLayout w:type="fixed"/>
        <w:tblCellMar>
          <w:top w:w="0" w:type="dxa"/>
          <w:left w:w="0" w:type="dxa"/>
          <w:bottom w:w="0" w:type="dxa"/>
          <w:right w:w="0" w:type="dxa"/>
        </w:tblCellMar>
      </w:tblPr>
      <w:tblGrid>
        <w:gridCol w:w="124"/>
        <w:gridCol w:w="1776"/>
        <w:gridCol w:w="109"/>
        <w:gridCol w:w="109"/>
        <w:gridCol w:w="6999"/>
        <w:gridCol w:w="155"/>
      </w:tblGrid>
      <w:tr>
        <w:trPr/>
        <w:tc>
          <w:tcPr>
            <w:tcW w:w="124" w:type="dxa"/>
            <w:tcBorders/>
            <w:vAlign w:val="center"/>
          </w:tcPr>
          <w:p>
            <w:pPr>
              <w:pStyle w:val="TableContents"/>
              <w:bidi w:val="0"/>
              <w:spacing w:before="0" w:after="283"/>
              <w:jc w:val="left"/>
              <w:rPr/>
            </w:pPr>
            <w:r>
              <w:rPr/>
              <w:t>​</w:t>
            </w:r>
          </w:p>
        </w:tc>
        <w:tc>
          <w:tcPr>
            <w:tcW w:w="8993" w:type="dxa"/>
            <w:gridSpan w:val="4"/>
            <w:tcBorders/>
            <w:vAlign w:val="center"/>
          </w:tcPr>
          <w:p>
            <w:pPr>
              <w:pStyle w:val="TableContents"/>
              <w:bidi w:val="0"/>
              <w:spacing w:before="0" w:after="283"/>
              <w:jc w:val="left"/>
              <w:rPr/>
            </w:pPr>
            <w:r>
              <w:rPr/>
              <w:t>PATRICIA HATTER</w:t>
            </w:r>
            <w:r>
              <w:rPr>
                <w:color w:val="000000"/>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76" w:type="dxa"/>
            <w:tcBorders/>
            <w:vAlign w:val="center"/>
          </w:tcPr>
          <w:p>
            <w:pPr>
              <w:pStyle w:val="TableContents"/>
              <w:bidi w:val="0"/>
              <w:spacing w:lineRule="atLeast" w:line="310" w:before="0" w:after="0"/>
              <w:jc w:val="left"/>
              <w:rPr>
                <w:rFonts w:ascii="Tahoma;Geneva;sans-serif" w:hAnsi="Tahoma;Geneva;sans-serif"/>
                <w:b/>
                <w:sz w:val="24"/>
              </w:rPr>
            </w:pPr>
            <w:r>
              <w:rPr>
                <w:rFonts w:ascii="Tahoma;Geneva;sans-serif" w:hAnsi="Tahoma;Geneva;sans-serif"/>
                <w:b/>
                <w:sz w:val="24"/>
              </w:rPr>
              <w:t>INDEPENDENT DIRECTOR</w:t>
            </w:r>
          </w:p>
        </w:tc>
        <w:tc>
          <w:tcPr>
            <w:tcW w:w="109" w:type="dxa"/>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6999" w:type="dxa"/>
            <w:vMerge w:val="restart"/>
            <w:tcBorders/>
            <w:vAlign w:val="center"/>
          </w:tcPr>
          <w:p>
            <w:pPr>
              <w:pStyle w:val="TableContents"/>
              <w:bidi w:val="0"/>
              <w:spacing w:lineRule="atLeast" w:line="245" w:before="0" w:after="0"/>
              <w:jc w:val="left"/>
              <w:rPr/>
            </w:pPr>
            <w:r>
              <w:rPr>
                <w:spacing w:val="-1"/>
              </w:rPr>
              <w:t>Ms. Hatter is a veteran technology executive with leadership experience in cybersecurity, enterprise IT, and digital operations across some of the industry’s most influential companies. Her prior public board service and executive roles strengthen the Board’s expertise in cybersecurity, customer engagement, and scalable tech strategy.</w:t>
            </w:r>
            <w:r>
              <w:rPr/>
              <w:t xml:space="preserve"> </w:t>
            </w:r>
          </w:p>
          <w:p>
            <w:pPr>
              <w:pStyle w:val="TableContents"/>
              <w:bidi w:val="0"/>
              <w:spacing w:lineRule="atLeast" w:line="245" w:before="200" w:after="283"/>
              <w:jc w:val="left"/>
              <w:rPr/>
            </w:pPr>
            <w:r>
              <w:rPr>
                <w:spacing w:val="-1"/>
              </w:rPr>
              <w:t>Ms. Hatter is currently the President and Chief Operating Officer of Opsera, an early-stage DevOps platform company, where she has served since 2023. She previously served as the Chief Customer Officer of Palo Alto Networks, Inc., a multinational cybersecurity company, where she served from 2019 to 2022. Ms. Hatter previously served as the General Manager and Senior Vice President — Services of McAfee, LLC, a global computer security software company, from in 2017, and was the Chief Information Officer and Senior Vice President — Operations, at McAfee, LLC, from 2010 to 2015. Ms. Hatter additionally served as the Chief Information Officer — Intel Security and General Manager — Security &amp; Software at Intel Corporation, a leader in the semiconductor industry, from 2015 to 2016. Ms. Hatter also held various leadership roles at Cisco Systems, Inc., and AT&amp;T Corporation.</w:t>
            </w:r>
            <w:r>
              <w:rPr/>
              <w:t xml:space="preserve"> </w:t>
            </w:r>
          </w:p>
          <w:p>
            <w:pPr>
              <w:pStyle w:val="TableContents"/>
              <w:bidi w:val="0"/>
              <w:spacing w:lineRule="atLeast" w:line="245" w:before="200" w:after="283"/>
              <w:jc w:val="left"/>
              <w:rPr/>
            </w:pPr>
            <w:r>
              <w:rPr>
                <w:spacing w:val="-1"/>
              </w:rPr>
              <w:t>Ms. Hatter served on the board of directors of Barrick Gold Corporation, an international mining company from 2018 until 2019, and the board of directors of Qualys, Inc., a leading provider of cloud-based security and compliance solutions, from 2018 until 2019.</w:t>
            </w:r>
            <w:r>
              <w:rPr/>
              <w:t xml:space="preserve"> </w:t>
            </w:r>
          </w:p>
          <w:p>
            <w:pPr>
              <w:pStyle w:val="TableContents"/>
              <w:bidi w:val="0"/>
              <w:spacing w:lineRule="atLeast" w:line="245" w:before="120" w:after="283"/>
              <w:jc w:val="left"/>
              <w:rPr>
                <w:spacing w:val="-1"/>
              </w:rPr>
            </w:pPr>
            <w:r>
              <w:rPr>
                <w:spacing w:val="-1"/>
              </w:rPr>
              <w:t xml:space="preserve">Ms. Hatter holds B.S. and M.S. degrees in Mechanical Engineering from Carnegie Mellon University. </w:t>
            </w:r>
          </w:p>
        </w:tc>
        <w:tc>
          <w:tcPr>
            <w:tcW w:w="155" w:type="dxa"/>
            <w:vMerge w:val="restart"/>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76" w:type="dxa"/>
            <w:tcBorders/>
            <w:vAlign w:val="center"/>
          </w:tcPr>
          <w:p>
            <w:pPr>
              <w:pStyle w:val="TableContents"/>
              <w:bidi w:val="0"/>
              <w:spacing w:before="0" w:after="0"/>
              <w:jc w:val="left"/>
              <w:rPr/>
            </w:pPr>
            <w:r>
              <w:rPr>
                <w:spacing w:val="-1"/>
              </w:rPr>
              <w:t>Class: Three</w:t>
            </w:r>
            <w:r>
              <w:rPr/>
              <w:t xml:space="preserve"> </w:t>
            </w:r>
          </w:p>
          <w:p>
            <w:pPr>
              <w:pStyle w:val="TableContents"/>
              <w:bidi w:val="0"/>
              <w:spacing w:before="120" w:after="283"/>
              <w:jc w:val="left"/>
              <w:rPr/>
            </w:pPr>
            <w:r>
              <w:rPr>
                <w:spacing w:val="-1"/>
              </w:rPr>
              <w:t>Director Since: 2019</w:t>
            </w:r>
            <w:r>
              <w:rPr/>
              <w:t xml:space="preserve"> </w:t>
            </w:r>
          </w:p>
          <w:p>
            <w:pPr>
              <w:pStyle w:val="TableContents"/>
              <w:bidi w:val="0"/>
              <w:spacing w:before="120" w:after="283"/>
              <w:jc w:val="left"/>
              <w:rPr/>
            </w:pPr>
            <w:r>
              <w:rPr>
                <w:spacing w:val="-1"/>
              </w:rPr>
              <w:t>Term Expires: 2026</w:t>
            </w:r>
            <w:r>
              <w:rPr/>
              <w:t xml:space="preserve"> </w:t>
            </w:r>
          </w:p>
          <w:p>
            <w:pPr>
              <w:pStyle w:val="TableContents"/>
              <w:bidi w:val="0"/>
              <w:spacing w:before="120" w:after="283"/>
              <w:jc w:val="left"/>
              <w:rPr/>
            </w:pPr>
            <w:r>
              <w:rPr>
                <w:spacing w:val="-1"/>
              </w:rPr>
              <w:t>Age: 64</w:t>
            </w:r>
            <w:r>
              <w:rPr/>
              <w:t xml:space="preserve"> </w:t>
            </w:r>
          </w:p>
          <w:p>
            <w:pPr>
              <w:pStyle w:val="TableContents"/>
              <w:bidi w:val="0"/>
              <w:spacing w:before="340" w:after="283"/>
              <w:jc w:val="left"/>
              <w:rPr>
                <w:rFonts w:ascii="Tahoma;Geneva;sans-serif" w:hAnsi="Tahoma;Geneva;sans-serif"/>
                <w:b/>
                <w:sz w:val="24"/>
              </w:rPr>
            </w:pPr>
            <w:r>
              <w:rPr>
                <w:rFonts w:ascii="Tahoma;Geneva;sans-serif" w:hAnsi="Tahoma;Geneva;sans-serif"/>
                <w:b/>
                <w:sz w:val="24"/>
              </w:rPr>
              <w:t>BOARD COMMITTEES</w:t>
            </w:r>
          </w:p>
          <w:p>
            <w:pPr>
              <w:pStyle w:val="TableContents"/>
              <w:bidi w:val="0"/>
              <w:spacing w:lineRule="atLeast" w:line="245" w:before="70" w:after="283"/>
              <w:jc w:val="left"/>
              <w:rPr/>
            </w:pPr>
            <w:r>
              <w:rPr>
                <w:spacing w:val="-1"/>
              </w:rPr>
              <w:t xml:space="preserve">Nominating and </w:t>
              <w:br/>
              <w:t>Corporate Governance</w:t>
            </w:r>
            <w:r>
              <w:rPr/>
              <w:t xml:space="preserve"> </w:t>
            </w:r>
          </w:p>
          <w:p>
            <w:pPr>
              <w:pStyle w:val="TableContents"/>
              <w:bidi w:val="0"/>
              <w:spacing w:before="340" w:after="283"/>
              <w:jc w:val="left"/>
              <w:rPr>
                <w:rFonts w:ascii="Tahoma;Geneva;sans-serif" w:hAnsi="Tahoma;Geneva;sans-serif"/>
                <w:b/>
                <w:sz w:val="24"/>
              </w:rPr>
            </w:pPr>
            <w:r>
              <w:rPr>
                <w:rFonts w:ascii="Tahoma;Geneva;sans-serif" w:hAnsi="Tahoma;Geneva;sans-serif"/>
                <w:b/>
                <w:sz w:val="24"/>
              </w:rPr>
              <w:t>OTHER PUBLIC COMPANY</w:t>
            </w:r>
          </w:p>
          <w:p>
            <w:pPr>
              <w:pStyle w:val="TableContents"/>
              <w:bidi w:val="0"/>
              <w:spacing w:lineRule="atLeast" w:line="175" w:before="20" w:after="283"/>
              <w:jc w:val="left"/>
              <w:rPr>
                <w:rFonts w:ascii="Tahoma;Geneva;sans-serif" w:hAnsi="Tahoma;Geneva;sans-serif"/>
                <w:b/>
                <w:sz w:val="24"/>
              </w:rPr>
            </w:pPr>
            <w:r>
              <w:rPr>
                <w:rFonts w:ascii="Tahoma;Geneva;sans-serif" w:hAnsi="Tahoma;Geneva;sans-serif"/>
                <w:b/>
                <w:sz w:val="24"/>
              </w:rPr>
              <w:t>BOARDS</w:t>
            </w:r>
            <w:r>
              <w:rPr>
                <w:rFonts w:ascii="Tahoma;Geneva;sans-serif" w:hAnsi="Tahoma;Geneva;sans-serif"/>
                <w:b/>
                <w:spacing w:val="-1"/>
                <w:sz w:val="24"/>
              </w:rPr>
              <w:t xml:space="preserve"> </w:t>
            </w:r>
            <w:r>
              <w:rPr>
                <w:rFonts w:ascii="Arial;Helvetica;sans-serif" w:hAnsi="Arial;Helvetica;sans-serif"/>
                <w:b w:val="false"/>
                <w:spacing w:val="-1"/>
                <w:sz w:val="18"/>
              </w:rPr>
              <w:t>(past five years)</w:t>
            </w:r>
          </w:p>
          <w:p>
            <w:pPr>
              <w:pStyle w:val="TableContents"/>
              <w:bidi w:val="0"/>
              <w:spacing w:before="70" w:after="283"/>
              <w:jc w:val="left"/>
              <w:rPr/>
            </w:pPr>
            <w:r>
              <w:rPr>
                <w:spacing w:val="-1"/>
              </w:rPr>
              <w:t>None</w:t>
            </w:r>
            <w:r>
              <w:rPr/>
              <w:t xml:space="preserve"> </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6999"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12</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1800"/>
        <w:gridCol w:w="109"/>
        <w:gridCol w:w="109"/>
        <w:gridCol w:w="6975"/>
        <w:gridCol w:w="155"/>
      </w:tblGrid>
      <w:tr>
        <w:trPr/>
        <w:tc>
          <w:tcPr>
            <w:tcW w:w="124" w:type="dxa"/>
            <w:tcBorders/>
            <w:vAlign w:val="center"/>
          </w:tcPr>
          <w:p>
            <w:pPr>
              <w:pStyle w:val="TableContents"/>
              <w:bidi w:val="0"/>
              <w:spacing w:before="0" w:after="283"/>
              <w:jc w:val="left"/>
              <w:rPr/>
            </w:pPr>
            <w:r>
              <w:rPr/>
              <w:t>​</w:t>
            </w:r>
          </w:p>
        </w:tc>
        <w:tc>
          <w:tcPr>
            <w:tcW w:w="8993" w:type="dxa"/>
            <w:gridSpan w:val="4"/>
            <w:tcBorders/>
            <w:vAlign w:val="center"/>
          </w:tcPr>
          <w:p>
            <w:pPr>
              <w:pStyle w:val="TableContents"/>
              <w:bidi w:val="0"/>
              <w:spacing w:before="0" w:after="283"/>
              <w:jc w:val="left"/>
              <w:rPr/>
            </w:pPr>
            <w:r>
              <w:rPr/>
              <w:t>STEPHEN A. SKAGGS</w:t>
            </w:r>
            <w:r>
              <w:rPr>
                <w:color w:val="000000"/>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800" w:type="dxa"/>
            <w:tcBorders/>
            <w:vAlign w:val="center"/>
          </w:tcPr>
          <w:p>
            <w:pPr>
              <w:pStyle w:val="TableContents"/>
              <w:bidi w:val="0"/>
              <w:spacing w:lineRule="atLeast" w:line="310" w:before="0" w:after="0"/>
              <w:jc w:val="left"/>
              <w:rPr>
                <w:rFonts w:ascii="Tahoma;Geneva;sans-serif" w:hAnsi="Tahoma;Geneva;sans-serif"/>
                <w:b/>
                <w:sz w:val="24"/>
              </w:rPr>
            </w:pPr>
            <w:r>
              <w:rPr>
                <w:rFonts w:ascii="Tahoma;Geneva;sans-serif" w:hAnsi="Tahoma;Geneva;sans-serif"/>
                <w:b/>
                <w:sz w:val="24"/>
              </w:rPr>
              <w:t>INDEPENDENT DIRECTOR​</w:t>
            </w:r>
          </w:p>
        </w:tc>
        <w:tc>
          <w:tcPr>
            <w:tcW w:w="109" w:type="dxa"/>
            <w:tcBorders/>
            <w:vAlign w:val="center"/>
          </w:tcPr>
          <w:p>
            <w:pPr>
              <w:pStyle w:val="TableContents"/>
              <w:bidi w:val="0"/>
              <w:spacing w:before="0" w:after="283"/>
              <w:jc w:val="left"/>
              <w:rPr/>
            </w:pPr>
            <w:r>
              <w:rPr/>
              <w:t>​</w:t>
            </w:r>
          </w:p>
        </w:tc>
        <w:tc>
          <w:tcPr>
            <w:tcW w:w="109" w:type="dxa"/>
            <w:vMerge w:val="restart"/>
            <w:tcBorders>
              <w:bottom w:val="single" w:sz="6" w:space="0" w:color="666666"/>
            </w:tcBorders>
            <w:tcMar>
              <w:bottom w:w="28" w:type="dxa"/>
            </w:tcMar>
            <w:vAlign w:val="center"/>
          </w:tcPr>
          <w:p>
            <w:pPr>
              <w:pStyle w:val="TableContents"/>
              <w:bidi w:val="0"/>
              <w:spacing w:before="0" w:after="283"/>
              <w:jc w:val="left"/>
              <w:rPr/>
            </w:pPr>
            <w:r>
              <w:rPr/>
              <w:t>​</w:t>
            </w:r>
          </w:p>
        </w:tc>
        <w:tc>
          <w:tcPr>
            <w:tcW w:w="6975" w:type="dxa"/>
            <w:vMerge w:val="restart"/>
            <w:tcBorders>
              <w:bottom w:val="single" w:sz="6" w:space="0" w:color="666666"/>
            </w:tcBorders>
            <w:tcMar>
              <w:bottom w:w="28" w:type="dxa"/>
            </w:tcMar>
            <w:vAlign w:val="center"/>
          </w:tcPr>
          <w:p>
            <w:pPr>
              <w:pStyle w:val="TableContents"/>
              <w:bidi w:val="0"/>
              <w:spacing w:lineRule="atLeast" w:line="245" w:before="0" w:after="0"/>
              <w:jc w:val="left"/>
              <w:rPr/>
            </w:pPr>
            <w:r>
              <w:rPr>
                <w:spacing w:val="-1"/>
              </w:rPr>
              <w:t>Mr. Skaggs brings over 25 years of executive leadership in the high-technology and semiconductor industries, including CEO and CFO roles at public companies in the space. He currently serves on the board of directors of Ouster, Inc. His board experience and expertise in corporate strategy, M&amp;A, and financial management make him a highly valuable contributor to the Board.</w:t>
            </w:r>
            <w:r>
              <w:rPr/>
              <w:t xml:space="preserve"> </w:t>
            </w:r>
          </w:p>
          <w:p>
            <w:pPr>
              <w:pStyle w:val="TableContents"/>
              <w:bidi w:val="0"/>
              <w:spacing w:lineRule="atLeast" w:line="245" w:before="200" w:after="283"/>
              <w:jc w:val="left"/>
              <w:rPr/>
            </w:pPr>
            <w:r>
              <w:rPr>
                <w:spacing w:val="-1"/>
              </w:rPr>
              <w:t>Mr. Skaggs joined the Board in conjunction with the acquisition of Coherent, Inc. in 2022. Previously, Mr. Skaggs served as a member of the board of directors of Coherent, Inc. beginning in 2013. Mr. Skaggs has been a private investor since 2016. Previously, he held the position of Senior Vice President and Chief Financial Officer of Atmel Corporation, a leading supplier of microcontrollers, from 2013 until its acquisition by Microchip Technology Incorporated in 2016. Mr. Skaggs has more than 25 years of experience in the semiconductor industry, including serving as President, Chief Executive Officer, and Chief Financial Officer of Lattice semiconductor Corp.</w:t>
            </w:r>
            <w:r>
              <w:rPr/>
              <w:t xml:space="preserve"> </w:t>
            </w:r>
          </w:p>
          <w:p>
            <w:pPr>
              <w:pStyle w:val="TableContents"/>
              <w:bidi w:val="0"/>
              <w:spacing w:lineRule="atLeast" w:line="245" w:before="200" w:after="283"/>
              <w:jc w:val="left"/>
              <w:rPr/>
            </w:pPr>
            <w:r>
              <w:rPr>
                <w:spacing w:val="-1"/>
              </w:rPr>
              <w:t>He was also previously a member of the board of directors of Lattice. Prior to Lattice, Mr. Skaggs was employed by Bain &amp; Company, a global management consulting firm, where he specialized in high-technology product strategy, mergers and acquisitions, and corporate restructurings.</w:t>
            </w:r>
            <w:r>
              <w:rPr/>
              <w:t xml:space="preserve"> </w:t>
            </w:r>
          </w:p>
          <w:p>
            <w:pPr>
              <w:pStyle w:val="TableContents"/>
              <w:bidi w:val="0"/>
              <w:spacing w:lineRule="atLeast" w:line="245" w:before="200" w:after="283"/>
              <w:jc w:val="left"/>
              <w:rPr>
                <w:spacing w:val="-1"/>
              </w:rPr>
            </w:pPr>
            <w:r>
              <w:rPr>
                <w:spacing w:val="-1"/>
              </w:rPr>
              <w:t xml:space="preserve">Mr. Skaggs holds a B.S. degree in Chemical Engineering from the University of California, Berkeley and an MBA from the Harvard Business School. </w:t>
            </w:r>
          </w:p>
        </w:tc>
        <w:tc>
          <w:tcPr>
            <w:tcW w:w="155" w:type="dxa"/>
            <w:vMerge w:val="restart"/>
            <w:tcBorders>
              <w:bottom w:val="single" w:sz="6" w:space="0" w:color="666666"/>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800" w:type="dxa"/>
            <w:tcBorders/>
            <w:vAlign w:val="center"/>
          </w:tcPr>
          <w:p>
            <w:pPr>
              <w:pStyle w:val="TableContents"/>
              <w:bidi w:val="0"/>
              <w:spacing w:before="0" w:after="0"/>
              <w:jc w:val="left"/>
              <w:rPr/>
            </w:pPr>
            <w:r>
              <w:rPr>
                <w:spacing w:val="-1"/>
              </w:rPr>
              <w:t>Class: Three</w:t>
            </w:r>
            <w:r>
              <w:rPr/>
              <w:t xml:space="preserve"> </w:t>
            </w:r>
          </w:p>
          <w:p>
            <w:pPr>
              <w:pStyle w:val="TableContents"/>
              <w:bidi w:val="0"/>
              <w:spacing w:before="120" w:after="283"/>
              <w:jc w:val="left"/>
              <w:rPr/>
            </w:pPr>
            <w:r>
              <w:rPr>
                <w:spacing w:val="-1"/>
              </w:rPr>
              <w:t>Director Since: 2022</w:t>
            </w:r>
            <w:r>
              <w:rPr/>
              <w:t xml:space="preserve"> </w:t>
            </w:r>
          </w:p>
          <w:p>
            <w:pPr>
              <w:pStyle w:val="TableContents"/>
              <w:bidi w:val="0"/>
              <w:spacing w:before="120" w:after="283"/>
              <w:jc w:val="left"/>
              <w:rPr/>
            </w:pPr>
            <w:r>
              <w:rPr>
                <w:spacing w:val="-1"/>
              </w:rPr>
              <w:t>Term Expires: 2026</w:t>
            </w:r>
            <w:r>
              <w:rPr/>
              <w:t xml:space="preserve"> </w:t>
            </w:r>
          </w:p>
          <w:p>
            <w:pPr>
              <w:pStyle w:val="TableContents"/>
              <w:bidi w:val="0"/>
              <w:spacing w:before="120" w:after="283"/>
              <w:jc w:val="left"/>
              <w:rPr/>
            </w:pPr>
            <w:r>
              <w:rPr>
                <w:spacing w:val="-1"/>
              </w:rPr>
              <w:t>Age: 64</w:t>
            </w:r>
            <w:r>
              <w:rPr/>
              <w:t xml:space="preserve"> </w:t>
            </w:r>
          </w:p>
          <w:p>
            <w:pPr>
              <w:pStyle w:val="TableContents"/>
              <w:bidi w:val="0"/>
              <w:spacing w:before="340" w:after="283"/>
              <w:jc w:val="left"/>
              <w:rPr>
                <w:rFonts w:ascii="Tahoma;Geneva;sans-serif" w:hAnsi="Tahoma;Geneva;sans-serif"/>
                <w:b/>
                <w:sz w:val="24"/>
              </w:rPr>
            </w:pPr>
            <w:r>
              <w:rPr>
                <w:rFonts w:ascii="Tahoma;Geneva;sans-serif" w:hAnsi="Tahoma;Geneva;sans-serif"/>
                <w:b/>
                <w:sz w:val="24"/>
              </w:rPr>
              <w:t>BOARD COMMITTEES</w:t>
            </w:r>
          </w:p>
          <w:p>
            <w:pPr>
              <w:pStyle w:val="TableContents"/>
              <w:bidi w:val="0"/>
              <w:spacing w:before="70" w:after="283"/>
              <w:jc w:val="left"/>
              <w:rPr/>
            </w:pPr>
            <w:r>
              <w:rPr>
                <w:spacing w:val="-1"/>
              </w:rPr>
              <w:t>Audit and Risk (Chair)</w:t>
            </w:r>
            <w:r>
              <w:rPr/>
              <w:t xml:space="preserve"> </w:t>
            </w:r>
          </w:p>
          <w:p>
            <w:pPr>
              <w:pStyle w:val="TableContents"/>
              <w:bidi w:val="0"/>
              <w:spacing w:lineRule="atLeast" w:line="245" w:before="120" w:after="283"/>
              <w:jc w:val="left"/>
              <w:rPr/>
            </w:pPr>
            <w:r>
              <w:rPr>
                <w:spacing w:val="-1"/>
              </w:rPr>
              <w:t xml:space="preserve">Nominating and </w:t>
              <w:br/>
              <w:t>Corporate Governance</w:t>
            </w:r>
            <w:r>
              <w:rPr/>
              <w:t xml:space="preserve"> </w:t>
            </w:r>
          </w:p>
          <w:p>
            <w:pPr>
              <w:pStyle w:val="TableContents"/>
              <w:bidi w:val="0"/>
              <w:spacing w:before="340" w:after="283"/>
              <w:jc w:val="left"/>
              <w:rPr>
                <w:rFonts w:ascii="Tahoma;Geneva;sans-serif" w:hAnsi="Tahoma;Geneva;sans-serif"/>
                <w:b/>
                <w:sz w:val="24"/>
              </w:rPr>
            </w:pPr>
            <w:r>
              <w:rPr>
                <w:rFonts w:ascii="Tahoma;Geneva;sans-serif" w:hAnsi="Tahoma;Geneva;sans-serif"/>
                <w:b/>
                <w:sz w:val="24"/>
              </w:rPr>
              <w:t>OTHER PUBLIC COMPANY</w:t>
            </w:r>
          </w:p>
          <w:p>
            <w:pPr>
              <w:pStyle w:val="TableContents"/>
              <w:bidi w:val="0"/>
              <w:spacing w:lineRule="atLeast" w:line="175" w:before="40" w:after="283"/>
              <w:jc w:val="left"/>
              <w:rPr>
                <w:rFonts w:ascii="Tahoma;Geneva;sans-serif" w:hAnsi="Tahoma;Geneva;sans-serif"/>
                <w:b/>
                <w:sz w:val="24"/>
              </w:rPr>
            </w:pPr>
            <w:r>
              <w:rPr>
                <w:rFonts w:ascii="Tahoma;Geneva;sans-serif" w:hAnsi="Tahoma;Geneva;sans-serif"/>
                <w:b/>
                <w:sz w:val="24"/>
              </w:rPr>
              <w:t>BOARDS</w:t>
            </w:r>
            <w:r>
              <w:rPr>
                <w:rFonts w:ascii="Tahoma;Geneva;sans-serif" w:hAnsi="Tahoma;Geneva;sans-serif"/>
                <w:b/>
                <w:spacing w:val="-1"/>
                <w:sz w:val="24"/>
              </w:rPr>
              <w:t xml:space="preserve"> </w:t>
            </w:r>
            <w:r>
              <w:rPr>
                <w:rFonts w:ascii="Arial;Helvetica;sans-serif" w:hAnsi="Arial;Helvetica;sans-serif"/>
                <w:b w:val="false"/>
                <w:spacing w:val="-1"/>
                <w:sz w:val="18"/>
              </w:rPr>
              <w:t>(past five years)</w:t>
            </w:r>
          </w:p>
          <w:p>
            <w:pPr>
              <w:pStyle w:val="TableContents"/>
              <w:bidi w:val="0"/>
              <w:spacing w:before="70" w:after="283"/>
              <w:jc w:val="left"/>
              <w:rPr/>
            </w:pPr>
            <w:r>
              <w:rPr>
                <w:spacing w:val="-1"/>
              </w:rPr>
              <w:t>Ouster (since 2024)</w:t>
            </w:r>
            <w:r>
              <w:rPr/>
              <w:t xml:space="preserve"> </w:t>
            </w:r>
          </w:p>
          <w:p>
            <w:pPr>
              <w:pStyle w:val="TableContents"/>
              <w:bidi w:val="0"/>
              <w:spacing w:lineRule="atLeast" w:line="245" w:before="120" w:after="283"/>
              <w:jc w:val="left"/>
              <w:rPr/>
            </w:pPr>
            <w:r>
              <w:rPr>
                <w:spacing w:val="-1"/>
              </w:rPr>
              <w:t xml:space="preserve">IDEX Biometrics, ASA </w:t>
              <w:br/>
              <w:t>(2019-2024)</w:t>
            </w:r>
            <w:r>
              <w:rPr/>
              <w:t xml:space="preserve"> </w:t>
            </w:r>
          </w:p>
        </w:tc>
        <w:tc>
          <w:tcPr>
            <w:tcW w:w="109" w:type="dxa"/>
            <w:tcBorders/>
            <w:vAlign w:val="center"/>
          </w:tcPr>
          <w:p>
            <w:pPr>
              <w:pStyle w:val="TableContents"/>
              <w:bidi w:val="0"/>
              <w:spacing w:before="0" w:after="283"/>
              <w:jc w:val="left"/>
              <w:rPr/>
            </w:pPr>
            <w:r>
              <w:rPr/>
              <w:t>​</w:t>
            </w:r>
          </w:p>
        </w:tc>
        <w:tc>
          <w:tcPr>
            <w:tcW w:w="109" w:type="dxa"/>
            <w:vMerge w:val="continue"/>
            <w:tcBorders>
              <w:bottom w:val="single" w:sz="6" w:space="0" w:color="666666"/>
            </w:tcBorders>
            <w:tcMar>
              <w:bottom w:w="28" w:type="dxa"/>
            </w:tcMar>
            <w:vAlign w:val="center"/>
          </w:tcPr>
          <w:p>
            <w:pPr>
              <w:pStyle w:val="Normal"/>
              <w:bidi w:val="0"/>
              <w:jc w:val="left"/>
              <w:rPr/>
            </w:pPr>
            <w:r>
              <w:rPr/>
            </w:r>
          </w:p>
        </w:tc>
        <w:tc>
          <w:tcPr>
            <w:tcW w:w="6975" w:type="dxa"/>
            <w:vMerge w:val="continue"/>
            <w:tcBorders>
              <w:bottom w:val="single" w:sz="6" w:space="0" w:color="666666"/>
            </w:tcBorders>
            <w:tcMar>
              <w:bottom w:w="28" w:type="dxa"/>
            </w:tcMar>
            <w:vAlign w:val="center"/>
          </w:tcPr>
          <w:p>
            <w:pPr>
              <w:pStyle w:val="Normal"/>
              <w:bidi w:val="0"/>
              <w:jc w:val="left"/>
              <w:rPr/>
            </w:pPr>
            <w:r>
              <w:rPr/>
            </w:r>
          </w:p>
        </w:tc>
        <w:tc>
          <w:tcPr>
            <w:tcW w:w="155" w:type="dxa"/>
            <w:vMerge w:val="continue"/>
            <w:tcBorders>
              <w:bottom w:val="single" w:sz="6" w:space="0" w:color="666666"/>
            </w:tcBorders>
            <w:tcMar>
              <w:bottom w:w="28" w:type="dxa"/>
            </w:tcMar>
            <w:vAlign w:val="center"/>
          </w:tcPr>
          <w:p>
            <w:pPr>
              <w:pStyle w:val="Normal"/>
              <w:bidi w:val="0"/>
              <w:jc w:val="left"/>
              <w:rPr/>
            </w:pPr>
            <w:r>
              <w:rPr/>
            </w:r>
          </w:p>
        </w:tc>
      </w:tr>
    </w:tbl>
    <w:tbl>
      <w:tblPr>
        <w:tblW w:w="9272" w:type="dxa"/>
        <w:jc w:val="left"/>
        <w:tblInd w:w="893" w:type="dxa"/>
        <w:tblLayout w:type="fixed"/>
        <w:tblCellMar>
          <w:top w:w="0" w:type="dxa"/>
          <w:left w:w="0" w:type="dxa"/>
          <w:bottom w:w="0" w:type="dxa"/>
          <w:right w:w="0" w:type="dxa"/>
        </w:tblCellMar>
      </w:tblPr>
      <w:tblGrid>
        <w:gridCol w:w="124"/>
        <w:gridCol w:w="1757"/>
        <w:gridCol w:w="109"/>
        <w:gridCol w:w="109"/>
        <w:gridCol w:w="7018"/>
        <w:gridCol w:w="155"/>
      </w:tblGrid>
      <w:tr>
        <w:trPr/>
        <w:tc>
          <w:tcPr>
            <w:tcW w:w="124" w:type="dxa"/>
            <w:tcBorders/>
            <w:vAlign w:val="center"/>
          </w:tcPr>
          <w:p>
            <w:pPr>
              <w:pStyle w:val="TableContents"/>
              <w:bidi w:val="0"/>
              <w:spacing w:before="0" w:after="283"/>
              <w:jc w:val="left"/>
              <w:rPr/>
            </w:pPr>
            <w:r>
              <w:rPr/>
              <w:t>​</w:t>
            </w:r>
          </w:p>
        </w:tc>
        <w:tc>
          <w:tcPr>
            <w:tcW w:w="8993" w:type="dxa"/>
            <w:gridSpan w:val="4"/>
            <w:tcBorders/>
            <w:vAlign w:val="center"/>
          </w:tcPr>
          <w:p>
            <w:pPr>
              <w:pStyle w:val="TableContents"/>
              <w:bidi w:val="0"/>
              <w:spacing w:before="0" w:after="283"/>
              <w:jc w:val="left"/>
              <w:rPr/>
            </w:pPr>
            <w:r>
              <w:rPr/>
              <w:t>SANDEEP VIJ</w:t>
            </w:r>
            <w:r>
              <w:rPr>
                <w:color w:val="000000"/>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57" w:type="dxa"/>
            <w:tcBorders/>
            <w:vAlign w:val="center"/>
          </w:tcPr>
          <w:p>
            <w:pPr>
              <w:pStyle w:val="TableContents"/>
              <w:bidi w:val="0"/>
              <w:spacing w:lineRule="atLeast" w:line="310" w:before="0" w:after="0"/>
              <w:jc w:val="left"/>
              <w:rPr>
                <w:rFonts w:ascii="Tahoma;Geneva;sans-serif" w:hAnsi="Tahoma;Geneva;sans-serif"/>
                <w:b/>
                <w:sz w:val="24"/>
              </w:rPr>
            </w:pPr>
            <w:r>
              <w:rPr>
                <w:rFonts w:ascii="Tahoma;Geneva;sans-serif" w:hAnsi="Tahoma;Geneva;sans-serif"/>
                <w:b/>
                <w:sz w:val="24"/>
              </w:rPr>
              <w:t>INDEPENDENT DIRECTOR​</w:t>
            </w:r>
          </w:p>
        </w:tc>
        <w:tc>
          <w:tcPr>
            <w:tcW w:w="109" w:type="dxa"/>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7018" w:type="dxa"/>
            <w:vMerge w:val="restart"/>
            <w:tcBorders/>
            <w:vAlign w:val="center"/>
          </w:tcPr>
          <w:p>
            <w:pPr>
              <w:pStyle w:val="TableContents"/>
              <w:bidi w:val="0"/>
              <w:spacing w:lineRule="atLeast" w:line="245" w:before="0" w:after="0"/>
              <w:jc w:val="left"/>
              <w:rPr/>
            </w:pPr>
            <w:r>
              <w:rPr>
                <w:spacing w:val="-1"/>
              </w:rPr>
              <w:t>Mr. Vij brings a proven track record of executive leadership in the high-technology sector to the Board, with CEO and board roles at public companies and deep expertise in marketing, strategy, and semiconductors. His industry insight and operational acumen provide valuable contributions to the Board.</w:t>
            </w:r>
            <w:r>
              <w:rPr/>
              <w:t xml:space="preserve"> </w:t>
            </w:r>
          </w:p>
          <w:p>
            <w:pPr>
              <w:pStyle w:val="TableContents"/>
              <w:bidi w:val="0"/>
              <w:spacing w:lineRule="atLeast" w:line="245" w:before="200" w:after="283"/>
              <w:jc w:val="left"/>
              <w:rPr/>
            </w:pPr>
            <w:r>
              <w:rPr>
                <w:spacing w:val="-1"/>
              </w:rPr>
              <w:t>Mr. Vij joined the Board in conjunction with the acquisition of Coherent, Inc. in 2022. Previously, Mr. Vij served as a member of the board of directors of Coherent, Inc. beginning in 2004. Mr. Vij has been a private investor since 2013. Previously, he held the position of President and Chief Executive Officer and was a member of the board of directors of MIPS Technologies, Inc., a leading provider of processor architectures and cores, from 2010 until its sale in 2013. In addition, Mr. Vij was the Vice President and General Manager of the Broadband and Consumer Division of Cavium Networks, Inc., a provider of highly integrated semiconductor products, from 2008 to 2010. Prior to that, he held the position of Vice President of Worldwide Marketing, Services, and Support for Xilinx, Inc., a digital programmable logic device provider, from 2007 to April 2008. From 2001 to 2006, he held the position of Vice President of Worldwide Marketing at Xilinx. From 1997 to 2001, he served as Vice President and General Manager of the General Products Division at Xilinx. Mr. Vij joined Xilinx in 1996 as Director of FPGA Marketing.</w:t>
            </w:r>
            <w:r>
              <w:rPr/>
              <w:t xml:space="preserve"> </w:t>
            </w:r>
          </w:p>
          <w:p>
            <w:pPr>
              <w:pStyle w:val="TableContents"/>
              <w:bidi w:val="0"/>
              <w:spacing w:lineRule="atLeast" w:line="245" w:before="200" w:after="283"/>
              <w:jc w:val="left"/>
              <w:rPr>
                <w:spacing w:val="-1"/>
              </w:rPr>
            </w:pPr>
            <w:r>
              <w:rPr>
                <w:spacing w:val="-1"/>
              </w:rPr>
              <w:t xml:space="preserve">He is a graduate of General Electric’s Edison Engineering Program and Advanced Courses in Engineering. He holds an MSEE from Stanford University and a BSEE from San Jose State University. </w:t>
            </w:r>
          </w:p>
        </w:tc>
        <w:tc>
          <w:tcPr>
            <w:tcW w:w="155" w:type="dxa"/>
            <w:vMerge w:val="restart"/>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57" w:type="dxa"/>
            <w:tcBorders/>
            <w:vAlign w:val="center"/>
          </w:tcPr>
          <w:p>
            <w:pPr>
              <w:pStyle w:val="TableContents"/>
              <w:bidi w:val="0"/>
              <w:spacing w:before="0" w:after="0"/>
              <w:jc w:val="left"/>
              <w:rPr/>
            </w:pPr>
            <w:r>
              <w:rPr>
                <w:spacing w:val="-1"/>
              </w:rPr>
              <w:t>Class: Three</w:t>
            </w:r>
            <w:r>
              <w:rPr/>
              <w:t xml:space="preserve"> </w:t>
            </w:r>
          </w:p>
          <w:p>
            <w:pPr>
              <w:pStyle w:val="TableContents"/>
              <w:bidi w:val="0"/>
              <w:spacing w:before="120" w:after="283"/>
              <w:jc w:val="left"/>
              <w:rPr/>
            </w:pPr>
            <w:r>
              <w:rPr>
                <w:spacing w:val="-1"/>
              </w:rPr>
              <w:t>Director Since: 2022</w:t>
            </w:r>
            <w:r>
              <w:rPr/>
              <w:t xml:space="preserve"> </w:t>
            </w:r>
          </w:p>
          <w:p>
            <w:pPr>
              <w:pStyle w:val="TableContents"/>
              <w:bidi w:val="0"/>
              <w:spacing w:before="120" w:after="283"/>
              <w:jc w:val="left"/>
              <w:rPr/>
            </w:pPr>
            <w:r>
              <w:rPr>
                <w:spacing w:val="-1"/>
              </w:rPr>
              <w:t>Term Expires: 2026</w:t>
            </w:r>
            <w:r>
              <w:rPr/>
              <w:t xml:space="preserve"> </w:t>
            </w:r>
          </w:p>
          <w:p>
            <w:pPr>
              <w:pStyle w:val="TableContents"/>
              <w:bidi w:val="0"/>
              <w:spacing w:before="120" w:after="283"/>
              <w:jc w:val="left"/>
              <w:rPr/>
            </w:pPr>
            <w:r>
              <w:rPr>
                <w:spacing w:val="-1"/>
              </w:rPr>
              <w:t>Age: 60</w:t>
            </w:r>
            <w:r>
              <w:rPr/>
              <w:t xml:space="preserve"> </w:t>
            </w:r>
          </w:p>
          <w:p>
            <w:pPr>
              <w:pStyle w:val="TableContents"/>
              <w:bidi w:val="0"/>
              <w:spacing w:before="340" w:after="283"/>
              <w:jc w:val="left"/>
              <w:rPr>
                <w:rFonts w:ascii="Tahoma;Geneva;sans-serif" w:hAnsi="Tahoma;Geneva;sans-serif"/>
                <w:b/>
                <w:sz w:val="24"/>
              </w:rPr>
            </w:pPr>
            <w:r>
              <w:rPr>
                <w:rFonts w:ascii="Tahoma;Geneva;sans-serif" w:hAnsi="Tahoma;Geneva;sans-serif"/>
                <w:b/>
                <w:sz w:val="24"/>
              </w:rPr>
              <w:t>BOARD COMMITTEES</w:t>
            </w:r>
          </w:p>
          <w:p>
            <w:pPr>
              <w:pStyle w:val="TableContents"/>
              <w:bidi w:val="0"/>
              <w:spacing w:lineRule="atLeast" w:line="245" w:before="70" w:after="283"/>
              <w:jc w:val="left"/>
              <w:rPr/>
            </w:pPr>
            <w:r>
              <w:rPr>
                <w:spacing w:val="-1"/>
              </w:rPr>
              <w:t xml:space="preserve">Compensation and </w:t>
              <w:br/>
              <w:t>Human Capital</w:t>
            </w:r>
            <w:r>
              <w:rPr/>
              <w:t xml:space="preserve"> </w:t>
            </w:r>
          </w:p>
          <w:p>
            <w:pPr>
              <w:pStyle w:val="TableContents"/>
              <w:bidi w:val="0"/>
              <w:spacing w:before="340" w:after="283"/>
              <w:jc w:val="left"/>
              <w:rPr>
                <w:rFonts w:ascii="Tahoma;Geneva;sans-serif" w:hAnsi="Tahoma;Geneva;sans-serif"/>
                <w:b/>
                <w:sz w:val="24"/>
              </w:rPr>
            </w:pPr>
            <w:r>
              <w:rPr>
                <w:rFonts w:ascii="Tahoma;Geneva;sans-serif" w:hAnsi="Tahoma;Geneva;sans-serif"/>
                <w:b/>
                <w:sz w:val="24"/>
              </w:rPr>
              <w:t>OTHER PUBLIC COMPANY</w:t>
            </w:r>
          </w:p>
          <w:p>
            <w:pPr>
              <w:pStyle w:val="TableContents"/>
              <w:bidi w:val="0"/>
              <w:spacing w:lineRule="atLeast" w:line="175" w:before="40" w:after="283"/>
              <w:jc w:val="left"/>
              <w:rPr>
                <w:rFonts w:ascii="Tahoma;Geneva;sans-serif" w:hAnsi="Tahoma;Geneva;sans-serif"/>
                <w:b/>
                <w:sz w:val="24"/>
              </w:rPr>
            </w:pPr>
            <w:r>
              <w:rPr>
                <w:rFonts w:ascii="Tahoma;Geneva;sans-serif" w:hAnsi="Tahoma;Geneva;sans-serif"/>
                <w:b/>
                <w:sz w:val="24"/>
              </w:rPr>
              <w:t>BOARDS</w:t>
            </w:r>
            <w:r>
              <w:rPr>
                <w:rFonts w:ascii="Tahoma;Geneva;sans-serif" w:hAnsi="Tahoma;Geneva;sans-serif"/>
                <w:b/>
                <w:spacing w:val="-1"/>
                <w:sz w:val="24"/>
              </w:rPr>
              <w:t xml:space="preserve"> </w:t>
            </w:r>
            <w:r>
              <w:rPr>
                <w:rFonts w:ascii="Arial;Helvetica;sans-serif" w:hAnsi="Arial;Helvetica;sans-serif"/>
                <w:b w:val="false"/>
                <w:spacing w:val="-1"/>
                <w:sz w:val="18"/>
              </w:rPr>
              <w:t>(past five years)</w:t>
            </w:r>
          </w:p>
          <w:p>
            <w:pPr>
              <w:pStyle w:val="TableContents"/>
              <w:bidi w:val="0"/>
              <w:spacing w:before="70" w:after="283"/>
              <w:jc w:val="left"/>
              <w:rPr/>
            </w:pPr>
            <w:r>
              <w:rPr>
                <w:spacing w:val="-1"/>
              </w:rPr>
              <w:t>Adeia, Inc. (since 2025)</w:t>
            </w:r>
            <w:r>
              <w:rPr/>
              <w:t xml:space="preserve"> </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018"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13</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440" w:before="120" w:after="9400"/>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VOTE REQUIRED</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 xml:space="preserve">A nominee will be elected to the Board if the number of votes cast </w:t>
      </w:r>
      <w:r>
        <w:rPr>
          <w:rFonts w:ascii="Arial;Helvetica;sans-serif" w:hAnsi="Arial;Helvetica;sans-serif"/>
          <w:b/>
          <w:i w:val="false"/>
          <w:caps w:val="false"/>
          <w:smallCaps w:val="false"/>
          <w:color w:val="000000"/>
          <w:spacing w:val="-2"/>
          <w:sz w:val="19"/>
          <w:shd w:fill="FFFFFF" w:val="clear"/>
        </w:rPr>
        <w:t>FOR</w:t>
      </w:r>
      <w:r>
        <w:rPr>
          <w:rFonts w:ascii="Arial;Helvetica;sans-serif" w:hAnsi="Arial;Helvetica;sans-serif"/>
          <w:b w:val="false"/>
          <w:i w:val="false"/>
          <w:caps w:val="false"/>
          <w:smallCaps w:val="false"/>
          <w:color w:val="000000"/>
          <w:spacing w:val="-1"/>
          <w:sz w:val="19"/>
          <w:shd w:fill="FFFFFF" w:val="clear"/>
        </w:rPr>
        <w:t xml:space="preserve"> the nominee exceeds the number of votes cast </w:t>
      </w:r>
      <w:r>
        <w:rPr>
          <w:rFonts w:ascii="Arial;Helvetica;sans-serif" w:hAnsi="Arial;Helvetica;sans-serif"/>
          <w:b/>
          <w:i w:val="false"/>
          <w:caps w:val="false"/>
          <w:smallCaps w:val="false"/>
          <w:color w:val="000000"/>
          <w:spacing w:val="-2"/>
          <w:sz w:val="19"/>
          <w:shd w:fill="FFFFFF" w:val="clear"/>
        </w:rPr>
        <w:t>AGAINST</w:t>
      </w:r>
      <w:r>
        <w:rPr>
          <w:rFonts w:ascii="Arial;Helvetica;sans-serif" w:hAnsi="Arial;Helvetica;sans-serif"/>
          <w:b w:val="false"/>
          <w:i w:val="false"/>
          <w:caps w:val="false"/>
          <w:smallCaps w:val="false"/>
          <w:color w:val="000000"/>
          <w:spacing w:val="-1"/>
          <w:sz w:val="19"/>
          <w:shd w:fill="FFFFFF" w:val="clear"/>
        </w:rPr>
        <w:t xml:space="preserve"> the nominee’s election, subject to the Company’s policy described under “Proposal 1 — Election of Directors — Director Conditional Resignation Policy.” Abstentions and broker “non-votes” are not deemed to be votes cast and, therefore, will not affect the outcome of the election.</w:t>
      </w:r>
      <w:r>
        <w:rPr>
          <w:rFonts w:ascii="Arial;Helvetica;sans-serif" w:hAnsi="Arial;Helvetica;sans-serif"/>
          <w:b w:val="false"/>
          <w:i w:val="false"/>
          <w:caps w:val="false"/>
          <w:smallCaps w:val="false"/>
          <w:color w:val="000000"/>
          <w:spacing w:val="4"/>
          <w:sz w:val="19"/>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109"/>
        <w:gridCol w:w="877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0068C7"/>
            </w:tcBorders>
            <w:tcMar>
              <w:bottom w:w="28" w:type="dxa"/>
            </w:tcMar>
            <w:vAlign w:val="center"/>
          </w:tcPr>
          <w:p>
            <w:pPr>
              <w:pStyle w:val="TableContents"/>
              <w:bidi w:val="0"/>
              <w:spacing w:before="0" w:after="283"/>
              <w:jc w:val="left"/>
              <w:rPr/>
            </w:pPr>
            <w:r>
              <w:rPr/>
              <w:t>​</w:t>
            </w:r>
          </w:p>
        </w:tc>
        <w:tc>
          <w:tcPr>
            <w:tcW w:w="8776" w:type="dxa"/>
            <w:tcBorders>
              <w:bottom w:val="single" w:sz="8" w:space="0" w:color="0068C7"/>
            </w:tcBorders>
            <w:tcMar>
              <w:bottom w:w="215" w:type="dxa"/>
            </w:tcMar>
            <w:vAlign w:val="center"/>
          </w:tcPr>
          <w:p>
            <w:pPr>
              <w:pStyle w:val="TableContents"/>
              <w:bidi w:val="0"/>
              <w:spacing w:before="0" w:after="0"/>
              <w:jc w:val="center"/>
              <w:rPr/>
            </w:pPr>
            <w:r>
              <w:rPr>
                <w:spacing w:val="-2"/>
              </w:rPr>
              <w:t xml:space="preserve">THE BOARD OF DIRECTORS UNANIMOUSLY RECOMMENDS A VOTE </w:t>
            </w:r>
            <w:r>
              <w:rPr>
                <w:spacing w:val="-2"/>
                <w:u w:val="single"/>
              </w:rPr>
              <w:t>FOR</w:t>
            </w:r>
            <w:r>
              <w:rPr>
                <w:spacing w:val="-2"/>
              </w:rPr>
              <w:t xml:space="preserve"> EACH OF THE NOMINEES </w:t>
              <w:br/>
              <w:t>NAMED ABOVE FOR ELECTION AS A CLASS THREE DIRECTOR.</w:t>
            </w:r>
            <w:r>
              <w:rPr/>
              <w:t xml:space="preserve"> </w:t>
            </w:r>
          </w:p>
        </w:tc>
        <w:tc>
          <w:tcPr>
            <w:tcW w:w="109" w:type="dxa"/>
            <w:tcBorders>
              <w:bottom w:val="single" w:sz="8" w:space="0" w:color="0068C7"/>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14</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9" w:name="tCODI"/>
      <w:bookmarkEnd w:id="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640" w:before="120" w:after="5275"/>
        <w:ind w:left="893" w:right="40" w:hanging="0"/>
        <w:jc w:val="left"/>
        <w:rPr>
          <w:rFonts w:ascii="Tahoma;Geneva;sans-serif" w:hAnsi="Tahoma;Geneva;sans-serif"/>
          <w:b/>
          <w:i w:val="false"/>
          <w:caps w:val="false"/>
          <w:smallCaps w:val="false"/>
          <w:color w:val="0068C7"/>
          <w:sz w:val="60"/>
          <w:shd w:fill="FFFFFF" w:val="clear"/>
        </w:rPr>
      </w:pPr>
      <w:r>
        <w:rPr>
          <w:rFonts w:ascii="Tahoma;Geneva;sans-serif" w:hAnsi="Tahoma;Geneva;sans-serif"/>
          <w:b/>
          <w:i w:val="false"/>
          <w:caps w:val="false"/>
          <w:smallCaps w:val="false"/>
          <w:color w:val="0068C7"/>
          <w:sz w:val="60"/>
          <w:shd w:fill="FFFFFF" w:val="clear"/>
        </w:rPr>
        <w:t>CONTINUING DIRECTORS</w:t>
      </w:r>
      <w:r>
        <w:rPr>
          <w:rFonts w:ascii="Tahoma;Geneva;sans-serif" w:hAnsi="Tahoma;Geneva;sans-serif"/>
          <w:b/>
          <w:i w:val="false"/>
          <w:caps w:val="false"/>
          <w:smallCaps w:val="false"/>
          <w:color w:val="000000"/>
          <w:spacing w:val="12"/>
          <w:sz w:val="60"/>
          <w:shd w:fill="FFFFFF" w:val="clear"/>
        </w:rPr>
        <w:t xml:space="preserve"> </w:t>
      </w:r>
    </w:p>
    <w:p>
      <w:pPr>
        <w:pStyle w:val="TextBody"/>
        <w:bidi w:val="0"/>
        <w:spacing w:lineRule="atLeast" w:line="440" w:before="24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EXISTING CLASS ONE DIRECTORS WHOSE TERM EXPIRES IN 2027</w:t>
      </w:r>
      <w:r>
        <w:rPr>
          <w:rFonts w:ascii="Tahoma;Geneva;sans-serif" w:hAnsi="Tahoma;Geneva;sans-serif"/>
          <w:b/>
          <w:i w:val="false"/>
          <w:caps w:val="false"/>
          <w:smallCaps w:val="false"/>
          <w:color w:val="000000"/>
          <w:spacing w:val="8"/>
          <w:sz w:val="40"/>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1827"/>
        <w:gridCol w:w="109"/>
        <w:gridCol w:w="109"/>
        <w:gridCol w:w="6948"/>
        <w:gridCol w:w="155"/>
      </w:tblGrid>
      <w:tr>
        <w:trPr/>
        <w:tc>
          <w:tcPr>
            <w:tcW w:w="124" w:type="dxa"/>
            <w:tcBorders/>
            <w:vAlign w:val="center"/>
          </w:tcPr>
          <w:p>
            <w:pPr>
              <w:pStyle w:val="TableContents"/>
              <w:bidi w:val="0"/>
              <w:spacing w:before="0" w:after="283"/>
              <w:jc w:val="left"/>
              <w:rPr/>
            </w:pPr>
            <w:r>
              <w:rPr/>
              <w:t>​</w:t>
            </w:r>
          </w:p>
        </w:tc>
        <w:tc>
          <w:tcPr>
            <w:tcW w:w="8993" w:type="dxa"/>
            <w:gridSpan w:val="4"/>
            <w:tcBorders/>
            <w:vAlign w:val="center"/>
          </w:tcPr>
          <w:p>
            <w:pPr>
              <w:pStyle w:val="TableContents"/>
              <w:bidi w:val="0"/>
              <w:spacing w:before="0" w:after="283"/>
              <w:jc w:val="left"/>
              <w:rPr/>
            </w:pPr>
            <w:r>
              <w:rPr/>
              <w:t>JAMES R. ANDERSON</w:t>
            </w:r>
            <w:r>
              <w:rPr>
                <w:color w:val="000000"/>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827" w:type="dxa"/>
            <w:tcBorders/>
            <w:vAlign w:val="center"/>
          </w:tcPr>
          <w:p>
            <w:pPr>
              <w:pStyle w:val="TableContents"/>
              <w:bidi w:val="0"/>
              <w:spacing w:lineRule="atLeast" w:line="300" w:before="0" w:after="0"/>
              <w:jc w:val="left"/>
              <w:rPr>
                <w:rFonts w:ascii="Tahoma;Geneva;sans-serif" w:hAnsi="Tahoma;Geneva;sans-serif"/>
                <w:b/>
                <w:sz w:val="24"/>
              </w:rPr>
            </w:pPr>
            <w:r>
              <w:rPr>
                <w:rFonts w:ascii="Tahoma;Geneva;sans-serif" w:hAnsi="Tahoma;Geneva;sans-serif"/>
                <w:b/>
                <w:sz w:val="24"/>
              </w:rPr>
              <w:t>CHIEF EXECUTIVE OFFICER AND PRESIDENT​</w:t>
            </w:r>
          </w:p>
        </w:tc>
        <w:tc>
          <w:tcPr>
            <w:tcW w:w="109" w:type="dxa"/>
            <w:tcBorders/>
            <w:vAlign w:val="center"/>
          </w:tcPr>
          <w:p>
            <w:pPr>
              <w:pStyle w:val="TableContents"/>
              <w:bidi w:val="0"/>
              <w:spacing w:before="0" w:after="283"/>
              <w:jc w:val="left"/>
              <w:rPr/>
            </w:pPr>
            <w:r>
              <w:rPr/>
              <w:t>​</w:t>
            </w:r>
          </w:p>
        </w:tc>
        <w:tc>
          <w:tcPr>
            <w:tcW w:w="109" w:type="dxa"/>
            <w:vMerge w:val="restart"/>
            <w:tcBorders>
              <w:bottom w:val="single" w:sz="6" w:space="0" w:color="666666"/>
            </w:tcBorders>
            <w:tcMar>
              <w:bottom w:w="28" w:type="dxa"/>
            </w:tcMar>
            <w:vAlign w:val="center"/>
          </w:tcPr>
          <w:p>
            <w:pPr>
              <w:pStyle w:val="TableContents"/>
              <w:bidi w:val="0"/>
              <w:spacing w:before="0" w:after="283"/>
              <w:jc w:val="left"/>
              <w:rPr/>
            </w:pPr>
            <w:r>
              <w:rPr/>
              <w:t>​</w:t>
            </w:r>
          </w:p>
        </w:tc>
        <w:tc>
          <w:tcPr>
            <w:tcW w:w="6948" w:type="dxa"/>
            <w:vMerge w:val="restart"/>
            <w:tcBorders>
              <w:bottom w:val="single" w:sz="6" w:space="0" w:color="666666"/>
            </w:tcBorders>
            <w:tcMar>
              <w:bottom w:w="28" w:type="dxa"/>
            </w:tcMar>
            <w:vAlign w:val="center"/>
          </w:tcPr>
          <w:p>
            <w:pPr>
              <w:pStyle w:val="TableContents"/>
              <w:bidi w:val="0"/>
              <w:spacing w:lineRule="atLeast" w:line="245" w:before="0" w:after="0"/>
              <w:jc w:val="left"/>
              <w:rPr/>
            </w:pPr>
            <w:r>
              <w:rPr>
                <w:spacing w:val="-1"/>
              </w:rPr>
              <w:t>Mr. Anderson brings deep executive leadership and operational expertise across the semiconductor and technology industries, with a track record of driving growth, innovation, and strategic transformation. His background in risk management, finance, corporate governance, talent and compensation, business development and strategy, and technology and intellectual property makes him a dynamic and highly capable leader on the Board.</w:t>
            </w:r>
            <w:r>
              <w:rPr/>
              <w:t xml:space="preserve"> </w:t>
            </w:r>
          </w:p>
          <w:p>
            <w:pPr>
              <w:pStyle w:val="TableContents"/>
              <w:bidi w:val="0"/>
              <w:spacing w:lineRule="atLeast" w:line="245" w:before="200" w:after="283"/>
              <w:jc w:val="left"/>
              <w:rPr/>
            </w:pPr>
            <w:r>
              <w:rPr>
                <w:spacing w:val="-1"/>
              </w:rPr>
              <w:t>Mr. Anderson was appointed President and Chief Executive Officer of Coherent Corp. and a member of the Board of Directors in 2024. He previously served as a director and President and Chief Executive Officer of Lattice Semiconductor Corporation (“Lattice”) since 2018. Prior to joining Lattice, Mr. Anderson served as the Senior Vice President and General Manager of the Computing and Graphics Business Group at Advanced Micro Devices (“AMD”). Prior to AMD, Mr. Anderson held a broad range of leadership positions spanning general management, engineering, sales, marketing and corporate strategy at companies including Intel, Broadcom (formerly Avago Technologies) and LSI Corporation.</w:t>
            </w:r>
            <w:r>
              <w:rPr/>
              <w:t xml:space="preserve"> </w:t>
            </w:r>
          </w:p>
          <w:p>
            <w:pPr>
              <w:pStyle w:val="TableContents"/>
              <w:bidi w:val="0"/>
              <w:spacing w:lineRule="atLeast" w:line="245" w:before="200" w:after="283"/>
              <w:jc w:val="left"/>
              <w:rPr/>
            </w:pPr>
            <w:r>
              <w:rPr>
                <w:spacing w:val="-1"/>
              </w:rPr>
              <w:t>Mr. Anderson served on the Board of Directors of Entegris, Inc., from 2023 to 2024 and on the Board of Directors of the Semiconductor Industry Association from 2020 through 2024. He previously served on the Board of Directors of Sierra Wireless from 2020 to 2023. Mr. Anderson is currently a director of Applied Materials. He also sits on the U.S.-Japan Business Council.</w:t>
            </w:r>
            <w:r>
              <w:rPr/>
              <w:t xml:space="preserve"> </w:t>
            </w:r>
          </w:p>
          <w:p>
            <w:pPr>
              <w:pStyle w:val="TableContents"/>
              <w:bidi w:val="0"/>
              <w:spacing w:lineRule="atLeast" w:line="245" w:before="200" w:after="283"/>
              <w:jc w:val="left"/>
              <w:rPr>
                <w:spacing w:val="-1"/>
              </w:rPr>
            </w:pPr>
            <w:r>
              <w:rPr>
                <w:spacing w:val="-1"/>
              </w:rPr>
              <w:t xml:space="preserve">Mr. Anderson earned an MBA and M.S. in electrical engineering and computer science from the Massachusetts Institute of Technology, an M.S. degree in electrical engineering from Purdue University, and a bachelor’s degree in electrical engineering from the University of Minnesota. </w:t>
            </w:r>
          </w:p>
        </w:tc>
        <w:tc>
          <w:tcPr>
            <w:tcW w:w="155" w:type="dxa"/>
            <w:vMerge w:val="restart"/>
            <w:tcBorders>
              <w:bottom w:val="single" w:sz="6" w:space="0" w:color="666666"/>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827" w:type="dxa"/>
            <w:tcBorders/>
            <w:vAlign w:val="center"/>
          </w:tcPr>
          <w:p>
            <w:pPr>
              <w:pStyle w:val="TableContents"/>
              <w:bidi w:val="0"/>
              <w:spacing w:before="0" w:after="0"/>
              <w:jc w:val="left"/>
              <w:rPr/>
            </w:pPr>
            <w:r>
              <w:rPr>
                <w:spacing w:val="-1"/>
              </w:rPr>
              <w:t>Class: One</w:t>
            </w:r>
            <w:r>
              <w:rPr/>
              <w:t xml:space="preserve"> </w:t>
            </w:r>
          </w:p>
          <w:p>
            <w:pPr>
              <w:pStyle w:val="TableContents"/>
              <w:bidi w:val="0"/>
              <w:spacing w:before="120" w:after="283"/>
              <w:jc w:val="left"/>
              <w:rPr/>
            </w:pPr>
            <w:r>
              <w:rPr>
                <w:spacing w:val="-1"/>
              </w:rPr>
              <w:t>Director Since: 2024</w:t>
            </w:r>
            <w:r>
              <w:rPr/>
              <w:t xml:space="preserve"> </w:t>
            </w:r>
          </w:p>
          <w:p>
            <w:pPr>
              <w:pStyle w:val="TableContents"/>
              <w:bidi w:val="0"/>
              <w:spacing w:before="120" w:after="283"/>
              <w:jc w:val="left"/>
              <w:rPr/>
            </w:pPr>
            <w:r>
              <w:rPr>
                <w:spacing w:val="-1"/>
              </w:rPr>
              <w:t>Term Expires: 2027</w:t>
            </w:r>
            <w:r>
              <w:rPr/>
              <w:t xml:space="preserve"> </w:t>
            </w:r>
          </w:p>
          <w:p>
            <w:pPr>
              <w:pStyle w:val="TableContents"/>
              <w:bidi w:val="0"/>
              <w:spacing w:before="120" w:after="283"/>
              <w:jc w:val="left"/>
              <w:rPr/>
            </w:pPr>
            <w:r>
              <w:rPr>
                <w:spacing w:val="-1"/>
              </w:rPr>
              <w:t>Age: 54</w:t>
            </w:r>
            <w:r>
              <w:rPr/>
              <w:t xml:space="preserve"> </w:t>
            </w:r>
          </w:p>
          <w:p>
            <w:pPr>
              <w:pStyle w:val="TableContents"/>
              <w:bidi w:val="0"/>
              <w:spacing w:before="340" w:after="283"/>
              <w:jc w:val="left"/>
              <w:rPr>
                <w:rFonts w:ascii="Tahoma;Geneva;sans-serif" w:hAnsi="Tahoma;Geneva;sans-serif"/>
                <w:b/>
                <w:sz w:val="24"/>
              </w:rPr>
            </w:pPr>
            <w:r>
              <w:rPr>
                <w:rFonts w:ascii="Tahoma;Geneva;sans-serif" w:hAnsi="Tahoma;Geneva;sans-serif"/>
                <w:b/>
                <w:sz w:val="24"/>
              </w:rPr>
              <w:t>BOARD COMMITTEES​</w:t>
            </w:r>
          </w:p>
          <w:p>
            <w:pPr>
              <w:pStyle w:val="TableContents"/>
              <w:bidi w:val="0"/>
              <w:spacing w:before="70" w:after="283"/>
              <w:jc w:val="left"/>
              <w:rPr/>
            </w:pPr>
            <w:r>
              <w:rPr>
                <w:spacing w:val="-1"/>
              </w:rPr>
              <w:t>None</w:t>
            </w:r>
            <w:r>
              <w:rPr/>
              <w:t xml:space="preserve"> </w:t>
            </w:r>
          </w:p>
          <w:p>
            <w:pPr>
              <w:pStyle w:val="TableContents"/>
              <w:bidi w:val="0"/>
              <w:spacing w:before="340" w:after="283"/>
              <w:jc w:val="left"/>
              <w:rPr>
                <w:rFonts w:ascii="Tahoma;Geneva;sans-serif" w:hAnsi="Tahoma;Geneva;sans-serif"/>
                <w:b/>
                <w:sz w:val="24"/>
              </w:rPr>
            </w:pPr>
            <w:r>
              <w:rPr>
                <w:rFonts w:ascii="Tahoma;Geneva;sans-serif" w:hAnsi="Tahoma;Geneva;sans-serif"/>
                <w:b/>
                <w:sz w:val="24"/>
              </w:rPr>
              <w:t>OTHER PUBLIC COMPANY</w:t>
            </w:r>
          </w:p>
          <w:p>
            <w:pPr>
              <w:pStyle w:val="TableContents"/>
              <w:bidi w:val="0"/>
              <w:spacing w:lineRule="atLeast" w:line="175" w:before="20" w:after="283"/>
              <w:jc w:val="left"/>
              <w:rPr>
                <w:rFonts w:ascii="Tahoma;Geneva;sans-serif" w:hAnsi="Tahoma;Geneva;sans-serif"/>
                <w:b/>
                <w:sz w:val="24"/>
              </w:rPr>
            </w:pPr>
            <w:r>
              <w:rPr>
                <w:rFonts w:ascii="Tahoma;Geneva;sans-serif" w:hAnsi="Tahoma;Geneva;sans-serif"/>
                <w:b/>
                <w:sz w:val="24"/>
              </w:rPr>
              <w:t>BOARDS</w:t>
            </w:r>
            <w:r>
              <w:rPr>
                <w:rFonts w:ascii="Tahoma;Geneva;sans-serif" w:hAnsi="Tahoma;Geneva;sans-serif"/>
                <w:b/>
                <w:spacing w:val="-1"/>
                <w:sz w:val="24"/>
              </w:rPr>
              <w:t xml:space="preserve"> </w:t>
            </w:r>
            <w:r>
              <w:rPr>
                <w:rFonts w:ascii="Arial;Helvetica;sans-serif" w:hAnsi="Arial;Helvetica;sans-serif"/>
                <w:b w:val="false"/>
                <w:spacing w:val="-1"/>
                <w:sz w:val="18"/>
              </w:rPr>
              <w:t>(past five years)</w:t>
            </w:r>
          </w:p>
          <w:p>
            <w:pPr>
              <w:pStyle w:val="TableContents"/>
              <w:bidi w:val="0"/>
              <w:spacing w:lineRule="atLeast" w:line="245" w:before="70" w:after="283"/>
              <w:jc w:val="left"/>
              <w:rPr/>
            </w:pPr>
            <w:r>
              <w:rPr>
                <w:spacing w:val="-1"/>
              </w:rPr>
              <w:t>Applied Materials (since July 2025)</w:t>
            </w:r>
            <w:r>
              <w:rPr/>
              <w:t xml:space="preserve"> </w:t>
            </w:r>
          </w:p>
          <w:p>
            <w:pPr>
              <w:pStyle w:val="TableContents"/>
              <w:bidi w:val="0"/>
              <w:spacing w:before="120" w:after="283"/>
              <w:jc w:val="left"/>
              <w:rPr/>
            </w:pPr>
            <w:r>
              <w:rPr>
                <w:spacing w:val="-1"/>
              </w:rPr>
              <w:t>Entegris, Inc. (2023-2024)</w:t>
            </w:r>
            <w:r>
              <w:rPr/>
              <w:t xml:space="preserve"> </w:t>
            </w:r>
          </w:p>
          <w:p>
            <w:pPr>
              <w:pStyle w:val="TableContents"/>
              <w:bidi w:val="0"/>
              <w:spacing w:lineRule="atLeast" w:line="245" w:before="120" w:after="283"/>
              <w:jc w:val="left"/>
              <w:rPr/>
            </w:pPr>
            <w:r>
              <w:rPr>
                <w:spacing w:val="-1"/>
              </w:rPr>
              <w:t>Lattice Semiconductor Corporation (2018-2024)</w:t>
            </w:r>
            <w:r>
              <w:rPr/>
              <w:t xml:space="preserve"> </w:t>
            </w:r>
          </w:p>
          <w:p>
            <w:pPr>
              <w:pStyle w:val="TableContents"/>
              <w:bidi w:val="0"/>
              <w:spacing w:before="120" w:after="283"/>
              <w:jc w:val="left"/>
              <w:rPr/>
            </w:pPr>
            <w:r>
              <w:rPr>
                <w:spacing w:val="-1"/>
              </w:rPr>
              <w:t>Sierra Wireless (2020-2023)</w:t>
            </w:r>
            <w:r>
              <w:rPr/>
              <w:t xml:space="preserve"> </w:t>
            </w:r>
          </w:p>
        </w:tc>
        <w:tc>
          <w:tcPr>
            <w:tcW w:w="109" w:type="dxa"/>
            <w:tcBorders/>
            <w:vAlign w:val="center"/>
          </w:tcPr>
          <w:p>
            <w:pPr>
              <w:pStyle w:val="TableContents"/>
              <w:bidi w:val="0"/>
              <w:spacing w:before="0" w:after="283"/>
              <w:jc w:val="left"/>
              <w:rPr/>
            </w:pPr>
            <w:r>
              <w:rPr/>
              <w:t>​</w:t>
            </w:r>
          </w:p>
        </w:tc>
        <w:tc>
          <w:tcPr>
            <w:tcW w:w="109" w:type="dxa"/>
            <w:vMerge w:val="continue"/>
            <w:tcBorders>
              <w:bottom w:val="single" w:sz="6" w:space="0" w:color="666666"/>
            </w:tcBorders>
            <w:tcMar>
              <w:bottom w:w="28" w:type="dxa"/>
            </w:tcMar>
            <w:vAlign w:val="center"/>
          </w:tcPr>
          <w:p>
            <w:pPr>
              <w:pStyle w:val="Normal"/>
              <w:bidi w:val="0"/>
              <w:jc w:val="left"/>
              <w:rPr/>
            </w:pPr>
            <w:r>
              <w:rPr/>
            </w:r>
          </w:p>
        </w:tc>
        <w:tc>
          <w:tcPr>
            <w:tcW w:w="6948" w:type="dxa"/>
            <w:vMerge w:val="continue"/>
            <w:tcBorders>
              <w:bottom w:val="single" w:sz="6" w:space="0" w:color="666666"/>
            </w:tcBorders>
            <w:tcMar>
              <w:bottom w:w="28" w:type="dxa"/>
            </w:tcMar>
            <w:vAlign w:val="center"/>
          </w:tcPr>
          <w:p>
            <w:pPr>
              <w:pStyle w:val="Normal"/>
              <w:bidi w:val="0"/>
              <w:jc w:val="left"/>
              <w:rPr/>
            </w:pPr>
            <w:r>
              <w:rPr/>
            </w:r>
          </w:p>
        </w:tc>
        <w:tc>
          <w:tcPr>
            <w:tcW w:w="155" w:type="dxa"/>
            <w:vMerge w:val="continue"/>
            <w:tcBorders>
              <w:bottom w:val="single" w:sz="6" w:space="0" w:color="666666"/>
            </w:tcBorders>
            <w:tcMar>
              <w:bottom w:w="28" w:type="dxa"/>
            </w:tcMar>
            <w:vAlign w:val="center"/>
          </w:tcPr>
          <w:p>
            <w:pPr>
              <w:pStyle w:val="Normal"/>
              <w:bidi w:val="0"/>
              <w:jc w:val="left"/>
              <w:rPr/>
            </w:pPr>
            <w:r>
              <w:rPr/>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15</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1768"/>
        <w:gridCol w:w="109"/>
        <w:gridCol w:w="109"/>
        <w:gridCol w:w="7007"/>
        <w:gridCol w:w="155"/>
      </w:tblGrid>
      <w:tr>
        <w:trPr/>
        <w:tc>
          <w:tcPr>
            <w:tcW w:w="124" w:type="dxa"/>
            <w:tcBorders/>
            <w:vAlign w:val="center"/>
          </w:tcPr>
          <w:p>
            <w:pPr>
              <w:pStyle w:val="TableContents"/>
              <w:bidi w:val="0"/>
              <w:spacing w:before="0" w:after="283"/>
              <w:jc w:val="left"/>
              <w:rPr/>
            </w:pPr>
            <w:r>
              <w:rPr/>
              <w:t>​</w:t>
            </w:r>
          </w:p>
        </w:tc>
        <w:tc>
          <w:tcPr>
            <w:tcW w:w="8993" w:type="dxa"/>
            <w:gridSpan w:val="4"/>
            <w:tcBorders/>
            <w:vAlign w:val="center"/>
          </w:tcPr>
          <w:p>
            <w:pPr>
              <w:pStyle w:val="TableContents"/>
              <w:bidi w:val="0"/>
              <w:spacing w:before="0" w:after="283"/>
              <w:jc w:val="left"/>
              <w:rPr/>
            </w:pPr>
            <w:r>
              <w:rPr/>
              <w:t>MICHAEL L. DREYER</w:t>
            </w:r>
            <w:r>
              <w:rPr>
                <w:color w:val="000000"/>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68" w:type="dxa"/>
            <w:tcBorders/>
            <w:vAlign w:val="center"/>
          </w:tcPr>
          <w:p>
            <w:pPr>
              <w:pStyle w:val="TableContents"/>
              <w:bidi w:val="0"/>
              <w:spacing w:lineRule="atLeast" w:line="310" w:before="0" w:after="0"/>
              <w:jc w:val="left"/>
              <w:rPr>
                <w:rFonts w:ascii="Tahoma;Geneva;sans-serif" w:hAnsi="Tahoma;Geneva;sans-serif"/>
                <w:b/>
                <w:sz w:val="24"/>
              </w:rPr>
            </w:pPr>
            <w:r>
              <w:rPr>
                <w:rFonts w:ascii="Tahoma;Geneva;sans-serif" w:hAnsi="Tahoma;Geneva;sans-serif"/>
                <w:b/>
                <w:sz w:val="24"/>
              </w:rPr>
              <w:t>INDEPENDENT DIRECTOR​</w:t>
            </w:r>
          </w:p>
        </w:tc>
        <w:tc>
          <w:tcPr>
            <w:tcW w:w="109" w:type="dxa"/>
            <w:tcBorders/>
            <w:vAlign w:val="center"/>
          </w:tcPr>
          <w:p>
            <w:pPr>
              <w:pStyle w:val="TableContents"/>
              <w:bidi w:val="0"/>
              <w:spacing w:before="0" w:after="283"/>
              <w:jc w:val="left"/>
              <w:rPr/>
            </w:pPr>
            <w:r>
              <w:rPr/>
              <w:t>​</w:t>
            </w:r>
          </w:p>
        </w:tc>
        <w:tc>
          <w:tcPr>
            <w:tcW w:w="109" w:type="dxa"/>
            <w:vMerge w:val="restart"/>
            <w:tcBorders>
              <w:bottom w:val="single" w:sz="6" w:space="0" w:color="666666"/>
            </w:tcBorders>
            <w:tcMar>
              <w:bottom w:w="28" w:type="dxa"/>
            </w:tcMar>
            <w:vAlign w:val="center"/>
          </w:tcPr>
          <w:p>
            <w:pPr>
              <w:pStyle w:val="TableContents"/>
              <w:bidi w:val="0"/>
              <w:spacing w:before="0" w:after="283"/>
              <w:jc w:val="left"/>
              <w:rPr/>
            </w:pPr>
            <w:r>
              <w:rPr/>
              <w:t>​</w:t>
            </w:r>
          </w:p>
        </w:tc>
        <w:tc>
          <w:tcPr>
            <w:tcW w:w="7007" w:type="dxa"/>
            <w:vMerge w:val="restart"/>
            <w:tcBorders>
              <w:bottom w:val="single" w:sz="6" w:space="0" w:color="666666"/>
            </w:tcBorders>
            <w:tcMar>
              <w:bottom w:w="295" w:type="dxa"/>
            </w:tcMar>
            <w:vAlign w:val="center"/>
          </w:tcPr>
          <w:p>
            <w:pPr>
              <w:pStyle w:val="TableContents"/>
              <w:bidi w:val="0"/>
              <w:spacing w:lineRule="atLeast" w:line="245" w:before="0" w:after="0"/>
              <w:jc w:val="left"/>
              <w:rPr/>
            </w:pPr>
            <w:r>
              <w:rPr>
                <w:spacing w:val="-1"/>
              </w:rPr>
              <w:t>Mr. Dreyer brings extensive executive leadership and board experience, with deep expertise in cybersecurity, technology infrastructure, and the financial and banking sectors. His background in operations, information systems, and digital innovation makes him a strategic asset to the Board.</w:t>
            </w:r>
            <w:r>
              <w:rPr/>
              <w:t xml:space="preserve"> </w:t>
            </w:r>
          </w:p>
          <w:p>
            <w:pPr>
              <w:pStyle w:val="TableContents"/>
              <w:bidi w:val="0"/>
              <w:spacing w:lineRule="atLeast" w:line="245" w:before="200" w:after="283"/>
              <w:jc w:val="left"/>
              <w:rPr/>
            </w:pPr>
            <w:r>
              <w:rPr>
                <w:spacing w:val="-1"/>
              </w:rPr>
              <w:t>Mr. Dreyer served as the Chief Operations Officer of Silicon Valley Bank from 2015 to 2019. Before joining Silicon Valley Bank, Mr. Dreyer was President and Chief Operating Officer of Monitise Americas, LLC, a subsidiary of Monitise Plc, a company providing mobile banking and payment services, from 2014 to 2015. Mr. Dreyer was the global head of technology and Chief Information Officer at VISA Inc., from 2005 to 2014. Previously, Mr. Dreyer was Chief Information Officer of Inovant, LLC, a wholly owned subsidiary of Visa, that provided electronic payment processing services on its behalf. He has also held executive positions at VISA USA (Senior Vice President of Processing and Emerging Products, and Senior Vice President of Commercial Solutions). Additionally, Mr. Dreyer held senior positions at American Express Co, Prime Financial, Inc., Federal Deposit Insurance Corporation (FDIC), Downey Savings, Bank of America, and the Fairmont Hotel Management Company.</w:t>
            </w:r>
            <w:r>
              <w:rPr/>
              <w:t xml:space="preserve"> </w:t>
            </w:r>
          </w:p>
          <w:p>
            <w:pPr>
              <w:pStyle w:val="TableContents"/>
              <w:bidi w:val="0"/>
              <w:spacing w:lineRule="atLeast" w:line="245" w:before="200" w:after="283"/>
              <w:jc w:val="left"/>
              <w:rPr/>
            </w:pPr>
            <w:r>
              <w:rPr>
                <w:spacing w:val="-1"/>
              </w:rPr>
              <w:t>Mr. Dreyer served as a member of the board of directors of Finisar Corporation from 2015 through 2019 (the effective date of the Company’s acquisition of Finisar), and F5 Networks, Inc. from 2012 to March 2026.</w:t>
            </w:r>
            <w:r>
              <w:rPr/>
              <w:t xml:space="preserve"> </w:t>
            </w:r>
          </w:p>
          <w:p>
            <w:pPr>
              <w:pStyle w:val="TableContents"/>
              <w:bidi w:val="0"/>
              <w:spacing w:lineRule="atLeast" w:line="245" w:before="200" w:after="283"/>
              <w:jc w:val="left"/>
              <w:rPr>
                <w:spacing w:val="-1"/>
              </w:rPr>
            </w:pPr>
            <w:r>
              <w:rPr>
                <w:spacing w:val="-1"/>
              </w:rPr>
              <w:t xml:space="preserve">Mr. Dreyer received B.S. in psychology and an MBA from Washington State University. </w:t>
            </w:r>
          </w:p>
        </w:tc>
        <w:tc>
          <w:tcPr>
            <w:tcW w:w="155" w:type="dxa"/>
            <w:vMerge w:val="restart"/>
            <w:tcBorders>
              <w:bottom w:val="single" w:sz="6" w:space="0" w:color="666666"/>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68" w:type="dxa"/>
            <w:tcBorders/>
            <w:vAlign w:val="center"/>
          </w:tcPr>
          <w:p>
            <w:pPr>
              <w:pStyle w:val="TableContents"/>
              <w:bidi w:val="0"/>
              <w:spacing w:before="0" w:after="0"/>
              <w:jc w:val="left"/>
              <w:rPr/>
            </w:pPr>
            <w:r>
              <w:rPr>
                <w:spacing w:val="-1"/>
              </w:rPr>
              <w:t>Class: One</w:t>
            </w:r>
            <w:r>
              <w:rPr/>
              <w:t xml:space="preserve"> </w:t>
            </w:r>
          </w:p>
          <w:p>
            <w:pPr>
              <w:pStyle w:val="TableContents"/>
              <w:bidi w:val="0"/>
              <w:spacing w:before="120" w:after="283"/>
              <w:jc w:val="left"/>
              <w:rPr/>
            </w:pPr>
            <w:r>
              <w:rPr>
                <w:spacing w:val="-1"/>
              </w:rPr>
              <w:t>Director Since: 2019</w:t>
            </w:r>
            <w:r>
              <w:rPr/>
              <w:t xml:space="preserve"> </w:t>
            </w:r>
          </w:p>
          <w:p>
            <w:pPr>
              <w:pStyle w:val="TableContents"/>
              <w:bidi w:val="0"/>
              <w:spacing w:before="120" w:after="283"/>
              <w:jc w:val="left"/>
              <w:rPr/>
            </w:pPr>
            <w:r>
              <w:rPr>
                <w:spacing w:val="-1"/>
              </w:rPr>
              <w:t>Term Expires: 2027</w:t>
            </w:r>
            <w:r>
              <w:rPr/>
              <w:t xml:space="preserve"> </w:t>
            </w:r>
          </w:p>
          <w:p>
            <w:pPr>
              <w:pStyle w:val="TableContents"/>
              <w:bidi w:val="0"/>
              <w:spacing w:before="120" w:after="283"/>
              <w:jc w:val="left"/>
              <w:rPr/>
            </w:pPr>
            <w:r>
              <w:rPr>
                <w:spacing w:val="-1"/>
              </w:rPr>
              <w:t>Age: 62</w:t>
            </w:r>
            <w:r>
              <w:rPr/>
              <w:t xml:space="preserve"> </w:t>
            </w:r>
          </w:p>
          <w:p>
            <w:pPr>
              <w:pStyle w:val="TableContents"/>
              <w:bidi w:val="0"/>
              <w:spacing w:before="340" w:after="283"/>
              <w:jc w:val="left"/>
              <w:rPr>
                <w:rFonts w:ascii="Tahoma;Geneva;sans-serif" w:hAnsi="Tahoma;Geneva;sans-serif"/>
                <w:b/>
                <w:sz w:val="24"/>
              </w:rPr>
            </w:pPr>
            <w:r>
              <w:rPr>
                <w:rFonts w:ascii="Tahoma;Geneva;sans-serif" w:hAnsi="Tahoma;Geneva;sans-serif"/>
                <w:b/>
                <w:sz w:val="24"/>
              </w:rPr>
              <w:t>BOARD COMMITTEES</w:t>
            </w:r>
          </w:p>
          <w:p>
            <w:pPr>
              <w:pStyle w:val="TableContents"/>
              <w:bidi w:val="0"/>
              <w:spacing w:before="70" w:after="283"/>
              <w:jc w:val="left"/>
              <w:rPr/>
            </w:pPr>
            <w:r>
              <w:rPr>
                <w:spacing w:val="-1"/>
              </w:rPr>
              <w:t>Audit and Risk</w:t>
            </w:r>
            <w:r>
              <w:rPr/>
              <w:t xml:space="preserve"> </w:t>
            </w:r>
          </w:p>
          <w:p>
            <w:pPr>
              <w:pStyle w:val="TableContents"/>
              <w:bidi w:val="0"/>
              <w:spacing w:lineRule="atLeast" w:line="245" w:before="120" w:after="283"/>
              <w:jc w:val="left"/>
              <w:rPr/>
            </w:pPr>
            <w:r>
              <w:rPr>
                <w:spacing w:val="-1"/>
              </w:rPr>
              <w:t xml:space="preserve">Nominating and </w:t>
              <w:br/>
              <w:t>Corporate Governance</w:t>
            </w:r>
            <w:r>
              <w:rPr/>
              <w:t xml:space="preserve"> </w:t>
            </w:r>
          </w:p>
          <w:p>
            <w:pPr>
              <w:pStyle w:val="TableContents"/>
              <w:bidi w:val="0"/>
              <w:spacing w:before="340" w:after="283"/>
              <w:jc w:val="left"/>
              <w:rPr>
                <w:rFonts w:ascii="Tahoma;Geneva;sans-serif" w:hAnsi="Tahoma;Geneva;sans-serif"/>
                <w:b/>
                <w:sz w:val="24"/>
              </w:rPr>
            </w:pPr>
            <w:r>
              <w:rPr>
                <w:rFonts w:ascii="Tahoma;Geneva;sans-serif" w:hAnsi="Tahoma;Geneva;sans-serif"/>
                <w:b/>
                <w:sz w:val="24"/>
              </w:rPr>
              <w:t>OTHER PUBLIC COMPANY</w:t>
            </w:r>
          </w:p>
          <w:p>
            <w:pPr>
              <w:pStyle w:val="TableContents"/>
              <w:bidi w:val="0"/>
              <w:spacing w:lineRule="atLeast" w:line="175" w:before="20" w:after="283"/>
              <w:jc w:val="left"/>
              <w:rPr>
                <w:rFonts w:ascii="Tahoma;Geneva;sans-serif" w:hAnsi="Tahoma;Geneva;sans-serif"/>
                <w:b/>
                <w:sz w:val="24"/>
              </w:rPr>
            </w:pPr>
            <w:r>
              <w:rPr>
                <w:rFonts w:ascii="Tahoma;Geneva;sans-serif" w:hAnsi="Tahoma;Geneva;sans-serif"/>
                <w:b/>
                <w:sz w:val="24"/>
              </w:rPr>
              <w:t>BOARDS</w:t>
            </w:r>
            <w:r>
              <w:rPr>
                <w:rFonts w:ascii="Tahoma;Geneva;sans-serif" w:hAnsi="Tahoma;Geneva;sans-serif"/>
                <w:b/>
                <w:spacing w:val="-1"/>
                <w:sz w:val="24"/>
              </w:rPr>
              <w:t xml:space="preserve"> </w:t>
            </w:r>
            <w:r>
              <w:rPr>
                <w:rFonts w:ascii="Arial;Helvetica;sans-serif" w:hAnsi="Arial;Helvetica;sans-serif"/>
                <w:b w:val="false"/>
                <w:spacing w:val="-1"/>
                <w:sz w:val="18"/>
              </w:rPr>
              <w:t>(past five years)</w:t>
            </w:r>
          </w:p>
          <w:p>
            <w:pPr>
              <w:pStyle w:val="TableContents"/>
              <w:bidi w:val="0"/>
              <w:spacing w:before="120" w:after="283"/>
              <w:jc w:val="left"/>
              <w:rPr/>
            </w:pPr>
            <w:r>
              <w:rPr>
                <w:spacing w:val="-1"/>
              </w:rPr>
              <w:t>F5 Networks (2012-2026)</w:t>
            </w:r>
            <w:r>
              <w:rPr/>
              <w:t xml:space="preserve"> </w:t>
            </w:r>
          </w:p>
        </w:tc>
        <w:tc>
          <w:tcPr>
            <w:tcW w:w="109" w:type="dxa"/>
            <w:tcBorders/>
            <w:vAlign w:val="center"/>
          </w:tcPr>
          <w:p>
            <w:pPr>
              <w:pStyle w:val="TableContents"/>
              <w:bidi w:val="0"/>
              <w:spacing w:before="0" w:after="283"/>
              <w:jc w:val="left"/>
              <w:rPr/>
            </w:pPr>
            <w:r>
              <w:rPr/>
              <w:t>​</w:t>
            </w:r>
          </w:p>
        </w:tc>
        <w:tc>
          <w:tcPr>
            <w:tcW w:w="109" w:type="dxa"/>
            <w:vMerge w:val="continue"/>
            <w:tcBorders>
              <w:bottom w:val="single" w:sz="6" w:space="0" w:color="666666"/>
            </w:tcBorders>
            <w:tcMar>
              <w:bottom w:w="28" w:type="dxa"/>
            </w:tcMar>
            <w:vAlign w:val="center"/>
          </w:tcPr>
          <w:p>
            <w:pPr>
              <w:pStyle w:val="Normal"/>
              <w:bidi w:val="0"/>
              <w:jc w:val="left"/>
              <w:rPr/>
            </w:pPr>
            <w:r>
              <w:rPr/>
            </w:r>
          </w:p>
        </w:tc>
        <w:tc>
          <w:tcPr>
            <w:tcW w:w="7007" w:type="dxa"/>
            <w:vMerge w:val="continue"/>
            <w:tcBorders>
              <w:bottom w:val="single" w:sz="6" w:space="0" w:color="666666"/>
            </w:tcBorders>
            <w:tcMar>
              <w:bottom w:w="295" w:type="dxa"/>
            </w:tcMar>
            <w:vAlign w:val="center"/>
          </w:tcPr>
          <w:p>
            <w:pPr>
              <w:pStyle w:val="Normal"/>
              <w:bidi w:val="0"/>
              <w:jc w:val="left"/>
              <w:rPr/>
            </w:pPr>
            <w:r>
              <w:rPr/>
            </w:r>
          </w:p>
        </w:tc>
        <w:tc>
          <w:tcPr>
            <w:tcW w:w="155" w:type="dxa"/>
            <w:vMerge w:val="continue"/>
            <w:tcBorders>
              <w:bottom w:val="single" w:sz="6" w:space="0" w:color="666666"/>
            </w:tcBorders>
            <w:tcMar>
              <w:bottom w:w="28" w:type="dxa"/>
            </w:tcMar>
            <w:vAlign w:val="center"/>
          </w:tcPr>
          <w:p>
            <w:pPr>
              <w:pStyle w:val="Normal"/>
              <w:bidi w:val="0"/>
              <w:jc w:val="left"/>
              <w:rPr/>
            </w:pPr>
            <w:r>
              <w:rPr/>
            </w:r>
          </w:p>
        </w:tc>
      </w:tr>
    </w:tbl>
    <w:tbl>
      <w:tblPr>
        <w:tblW w:w="9272" w:type="dxa"/>
        <w:jc w:val="left"/>
        <w:tblInd w:w="893" w:type="dxa"/>
        <w:tblLayout w:type="fixed"/>
        <w:tblCellMar>
          <w:top w:w="0" w:type="dxa"/>
          <w:left w:w="0" w:type="dxa"/>
          <w:bottom w:w="0" w:type="dxa"/>
          <w:right w:w="0" w:type="dxa"/>
        </w:tblCellMar>
      </w:tblPr>
      <w:tblGrid>
        <w:gridCol w:w="124"/>
        <w:gridCol w:w="1812"/>
        <w:gridCol w:w="109"/>
        <w:gridCol w:w="109"/>
        <w:gridCol w:w="6963"/>
        <w:gridCol w:w="155"/>
      </w:tblGrid>
      <w:tr>
        <w:trPr/>
        <w:tc>
          <w:tcPr>
            <w:tcW w:w="124" w:type="dxa"/>
            <w:tcBorders/>
            <w:vAlign w:val="center"/>
          </w:tcPr>
          <w:p>
            <w:pPr>
              <w:pStyle w:val="TableContents"/>
              <w:bidi w:val="0"/>
              <w:spacing w:before="0" w:after="283"/>
              <w:jc w:val="left"/>
              <w:rPr/>
            </w:pPr>
            <w:r>
              <w:rPr/>
              <w:t>​</w:t>
            </w:r>
          </w:p>
        </w:tc>
        <w:tc>
          <w:tcPr>
            <w:tcW w:w="8993" w:type="dxa"/>
            <w:gridSpan w:val="4"/>
            <w:tcBorders/>
            <w:vAlign w:val="center"/>
          </w:tcPr>
          <w:p>
            <w:pPr>
              <w:pStyle w:val="TableContents"/>
              <w:bidi w:val="0"/>
              <w:spacing w:before="0" w:after="283"/>
              <w:jc w:val="left"/>
              <w:rPr/>
            </w:pPr>
            <w:r>
              <w:rPr/>
              <w:t>STEPHEN PAGLIUCA</w:t>
            </w:r>
            <w:r>
              <w:rPr>
                <w:color w:val="000000"/>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812" w:type="dxa"/>
            <w:tcBorders/>
            <w:vAlign w:val="center"/>
          </w:tcPr>
          <w:p>
            <w:pPr>
              <w:pStyle w:val="TableContents"/>
              <w:bidi w:val="0"/>
              <w:spacing w:lineRule="atLeast" w:line="310" w:before="0" w:after="0"/>
              <w:jc w:val="left"/>
              <w:rPr>
                <w:rFonts w:ascii="Tahoma;Geneva;sans-serif" w:hAnsi="Tahoma;Geneva;sans-serif"/>
                <w:b/>
                <w:sz w:val="24"/>
              </w:rPr>
            </w:pPr>
            <w:r>
              <w:rPr>
                <w:rFonts w:ascii="Tahoma;Geneva;sans-serif" w:hAnsi="Tahoma;Geneva;sans-serif"/>
                <w:b/>
                <w:sz w:val="24"/>
              </w:rPr>
              <w:t>INDEPENDENT DIRECTOR​</w:t>
            </w:r>
          </w:p>
        </w:tc>
        <w:tc>
          <w:tcPr>
            <w:tcW w:w="109" w:type="dxa"/>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6963" w:type="dxa"/>
            <w:vMerge w:val="restart"/>
            <w:tcBorders/>
            <w:vAlign w:val="center"/>
          </w:tcPr>
          <w:p>
            <w:pPr>
              <w:pStyle w:val="TableContents"/>
              <w:bidi w:val="0"/>
              <w:spacing w:lineRule="atLeast" w:line="245" w:before="0" w:after="0"/>
              <w:jc w:val="left"/>
              <w:rPr/>
            </w:pPr>
            <w:r>
              <w:rPr>
                <w:spacing w:val="-1"/>
              </w:rPr>
              <w:t>Mr. Pagliuca is an experienced global executive, with a strong background in private equity, successful strategic investments, and corporate governance. His expertise in scaling businesses and driving long-term value provides invaluable insights to Board discussions on capital management and growth.</w:t>
            </w:r>
            <w:r>
              <w:rPr/>
              <w:t xml:space="preserve"> </w:t>
            </w:r>
          </w:p>
          <w:p>
            <w:pPr>
              <w:pStyle w:val="TableContents"/>
              <w:bidi w:val="0"/>
              <w:spacing w:lineRule="atLeast" w:line="245" w:before="200" w:after="283"/>
              <w:jc w:val="left"/>
              <w:rPr/>
            </w:pPr>
            <w:r>
              <w:rPr>
                <w:spacing w:val="-1"/>
              </w:rPr>
              <w:t>Mr. Pagliuca is the Founder and CEO of PagsGroup, a growth capital investment firm with expertise in biotech, technology, media and sports. Mr. Pagliuca is the former Co-Chair of Bain Capital, a global investment firm managing approximately $180 billion in assets. He currently serves as a Senior Advisor to the firm. Mr. Pagliuca is the Principal Owner and Co-Chairman of Atalanta B.C., the Serie A football club based in Bergamo, Italy. Atalanta reached a historic milestone in May 2024 by winning the Europa Cup — the club’s first major title in over 60 years. Previously, Mr. Pagliuca was a Managing Partner and Co-Owner of the Boston Celtics, and the Founder and President of the Boston Celtics Shamrock Foundation. A passionate advocate for science and education, Mr. Pagliuca, through the Pagliuca Family Foundation, established the Pagliuca Harvard Life Lab in 2016 — a state-of-the-art shared lab space designed to support Harvard University students and faculty in biotech and life sciences research.</w:t>
            </w:r>
            <w:r>
              <w:rPr/>
              <w:t xml:space="preserve"> </w:t>
            </w:r>
          </w:p>
          <w:p>
            <w:pPr>
              <w:pStyle w:val="TableContents"/>
              <w:bidi w:val="0"/>
              <w:spacing w:lineRule="atLeast" w:line="245" w:before="200" w:after="283"/>
              <w:jc w:val="left"/>
              <w:rPr/>
            </w:pPr>
            <w:r>
              <w:rPr>
                <w:spacing w:val="-1"/>
              </w:rPr>
              <w:t>Mr. Pagliuca has served on the board of Gartner, Inc., a research and advisory company, since 2010. He joined the boards of Symbotic, Inc. and Norwegian Cruise Lines in 2026.</w:t>
            </w:r>
            <w:r>
              <w:rPr/>
              <w:t xml:space="preserve"> </w:t>
            </w:r>
          </w:p>
          <w:p>
            <w:pPr>
              <w:pStyle w:val="TableContents"/>
              <w:bidi w:val="0"/>
              <w:spacing w:lineRule="atLeast" w:line="245" w:before="200" w:after="283"/>
              <w:jc w:val="left"/>
              <w:rPr>
                <w:spacing w:val="-1"/>
              </w:rPr>
            </w:pPr>
            <w:r>
              <w:rPr>
                <w:spacing w:val="-1"/>
              </w:rPr>
              <w:t xml:space="preserve">Mr. Pagliuca earned his B.A. from Duke University and an MBA from Harvard Business School. </w:t>
            </w:r>
          </w:p>
        </w:tc>
        <w:tc>
          <w:tcPr>
            <w:tcW w:w="155" w:type="dxa"/>
            <w:vMerge w:val="restart"/>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812" w:type="dxa"/>
            <w:tcBorders/>
            <w:vAlign w:val="center"/>
          </w:tcPr>
          <w:p>
            <w:pPr>
              <w:pStyle w:val="TableContents"/>
              <w:bidi w:val="0"/>
              <w:spacing w:before="0" w:after="0"/>
              <w:jc w:val="left"/>
              <w:rPr/>
            </w:pPr>
            <w:r>
              <w:rPr>
                <w:spacing w:val="-1"/>
              </w:rPr>
              <w:t>Class: One</w:t>
            </w:r>
            <w:r>
              <w:rPr/>
              <w:t xml:space="preserve"> </w:t>
            </w:r>
          </w:p>
          <w:p>
            <w:pPr>
              <w:pStyle w:val="TableContents"/>
              <w:bidi w:val="0"/>
              <w:spacing w:before="120" w:after="283"/>
              <w:jc w:val="left"/>
              <w:rPr/>
            </w:pPr>
            <w:r>
              <w:rPr>
                <w:spacing w:val="-1"/>
              </w:rPr>
              <w:t>Director Since: 2021</w:t>
            </w:r>
            <w:r>
              <w:rPr/>
              <w:t xml:space="preserve"> </w:t>
            </w:r>
          </w:p>
          <w:p>
            <w:pPr>
              <w:pStyle w:val="TableContents"/>
              <w:bidi w:val="0"/>
              <w:spacing w:before="120" w:after="283"/>
              <w:jc w:val="left"/>
              <w:rPr/>
            </w:pPr>
            <w:r>
              <w:rPr>
                <w:spacing w:val="-1"/>
              </w:rPr>
              <w:t>Term Expires: 2027</w:t>
            </w:r>
            <w:r>
              <w:rPr/>
              <w:t xml:space="preserve"> </w:t>
            </w:r>
          </w:p>
          <w:p>
            <w:pPr>
              <w:pStyle w:val="TableContents"/>
              <w:bidi w:val="0"/>
              <w:spacing w:before="120" w:after="283"/>
              <w:jc w:val="left"/>
              <w:rPr/>
            </w:pPr>
            <w:r>
              <w:rPr>
                <w:spacing w:val="-1"/>
              </w:rPr>
              <w:t>Age: 71</w:t>
            </w:r>
            <w:r>
              <w:rPr/>
              <w:t xml:space="preserve"> </w:t>
            </w:r>
          </w:p>
          <w:p>
            <w:pPr>
              <w:pStyle w:val="TableContents"/>
              <w:bidi w:val="0"/>
              <w:spacing w:before="340" w:after="283"/>
              <w:jc w:val="left"/>
              <w:rPr>
                <w:rFonts w:ascii="Tahoma;Geneva;sans-serif" w:hAnsi="Tahoma;Geneva;sans-serif"/>
                <w:b/>
                <w:sz w:val="24"/>
              </w:rPr>
            </w:pPr>
            <w:r>
              <w:rPr>
                <w:rFonts w:ascii="Tahoma;Geneva;sans-serif" w:hAnsi="Tahoma;Geneva;sans-serif"/>
                <w:b/>
                <w:sz w:val="24"/>
              </w:rPr>
              <w:t>BOARD COMMITTEES</w:t>
            </w:r>
          </w:p>
          <w:p>
            <w:pPr>
              <w:pStyle w:val="TableContents"/>
              <w:bidi w:val="0"/>
              <w:spacing w:lineRule="atLeast" w:line="245" w:before="70" w:after="283"/>
              <w:jc w:val="left"/>
              <w:rPr/>
            </w:pPr>
            <w:r>
              <w:rPr>
                <w:spacing w:val="-1"/>
              </w:rPr>
              <w:t xml:space="preserve">Compensation and </w:t>
              <w:br/>
              <w:t>Human Capital</w:t>
            </w:r>
            <w:r>
              <w:rPr/>
              <w:t xml:space="preserve"> </w:t>
            </w:r>
          </w:p>
          <w:p>
            <w:pPr>
              <w:pStyle w:val="TableContents"/>
              <w:bidi w:val="0"/>
              <w:spacing w:before="340" w:after="283"/>
              <w:jc w:val="left"/>
              <w:rPr>
                <w:rFonts w:ascii="Tahoma;Geneva;sans-serif" w:hAnsi="Tahoma;Geneva;sans-serif"/>
                <w:b/>
                <w:sz w:val="24"/>
              </w:rPr>
            </w:pPr>
            <w:r>
              <w:rPr>
                <w:rFonts w:ascii="Tahoma;Geneva;sans-serif" w:hAnsi="Tahoma;Geneva;sans-serif"/>
                <w:b/>
                <w:sz w:val="24"/>
              </w:rPr>
              <w:t>OTHER PUBLIC COMPANY</w:t>
            </w:r>
          </w:p>
          <w:p>
            <w:pPr>
              <w:pStyle w:val="TableContents"/>
              <w:bidi w:val="0"/>
              <w:spacing w:lineRule="atLeast" w:line="175" w:before="20" w:after="283"/>
              <w:jc w:val="left"/>
              <w:rPr>
                <w:rFonts w:ascii="Tahoma;Geneva;sans-serif" w:hAnsi="Tahoma;Geneva;sans-serif"/>
                <w:b/>
                <w:sz w:val="24"/>
              </w:rPr>
            </w:pPr>
            <w:r>
              <w:rPr>
                <w:rFonts w:ascii="Tahoma;Geneva;sans-serif" w:hAnsi="Tahoma;Geneva;sans-serif"/>
                <w:b/>
                <w:sz w:val="24"/>
              </w:rPr>
              <w:t>BOARDS</w:t>
            </w:r>
            <w:r>
              <w:rPr>
                <w:rFonts w:ascii="Tahoma;Geneva;sans-serif" w:hAnsi="Tahoma;Geneva;sans-serif"/>
                <w:b/>
                <w:spacing w:val="-1"/>
                <w:sz w:val="24"/>
              </w:rPr>
              <w:t xml:space="preserve"> </w:t>
            </w:r>
            <w:r>
              <w:rPr>
                <w:rFonts w:ascii="Arial;Helvetica;sans-serif" w:hAnsi="Arial;Helvetica;sans-serif"/>
                <w:b w:val="false"/>
                <w:spacing w:val="-1"/>
                <w:sz w:val="18"/>
              </w:rPr>
              <w:t>(past five years)</w:t>
            </w:r>
          </w:p>
          <w:p>
            <w:pPr>
              <w:pStyle w:val="TableContents"/>
              <w:bidi w:val="0"/>
              <w:spacing w:lineRule="atLeast" w:line="245" w:before="70" w:after="283"/>
              <w:jc w:val="left"/>
              <w:rPr/>
            </w:pPr>
            <w:r>
              <w:rPr>
                <w:spacing w:val="-1"/>
              </w:rPr>
              <w:t xml:space="preserve">Gartner, Inc. </w:t>
              <w:br/>
              <w:t>(since 2010)</w:t>
            </w:r>
            <w:r>
              <w:rPr/>
              <w:t xml:space="preserve"> </w:t>
            </w:r>
          </w:p>
          <w:p>
            <w:pPr>
              <w:pStyle w:val="TableContents"/>
              <w:bidi w:val="0"/>
              <w:spacing w:lineRule="atLeast" w:line="245" w:before="120" w:after="283"/>
              <w:jc w:val="left"/>
              <w:rPr/>
            </w:pPr>
            <w:r>
              <w:rPr>
                <w:spacing w:val="-1"/>
              </w:rPr>
              <w:t xml:space="preserve">Symbotic, Inc. </w:t>
              <w:br/>
              <w:t>(since 2026)</w:t>
            </w:r>
            <w:r>
              <w:rPr/>
              <w:t xml:space="preserve"> </w:t>
            </w:r>
          </w:p>
          <w:p>
            <w:pPr>
              <w:pStyle w:val="TableContents"/>
              <w:bidi w:val="0"/>
              <w:spacing w:lineRule="atLeast" w:line="245" w:before="120" w:after="283"/>
              <w:jc w:val="left"/>
              <w:rPr/>
            </w:pPr>
            <w:r>
              <w:rPr>
                <w:spacing w:val="-1"/>
              </w:rPr>
              <w:t>Norwegian Cruise Lines (since 2026)</w:t>
            </w:r>
            <w:r>
              <w:rPr/>
              <w:t xml:space="preserve"> </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6963"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16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1848"/>
        <w:gridCol w:w="109"/>
        <w:gridCol w:w="109"/>
        <w:gridCol w:w="6927"/>
        <w:gridCol w:w="155"/>
      </w:tblGrid>
      <w:tr>
        <w:trPr/>
        <w:tc>
          <w:tcPr>
            <w:tcW w:w="124" w:type="dxa"/>
            <w:tcBorders/>
            <w:vAlign w:val="center"/>
          </w:tcPr>
          <w:p>
            <w:pPr>
              <w:pStyle w:val="TableContents"/>
              <w:bidi w:val="0"/>
              <w:spacing w:before="0" w:after="283"/>
              <w:jc w:val="left"/>
              <w:rPr/>
            </w:pPr>
            <w:r>
              <w:rPr/>
              <w:t>​</w:t>
            </w:r>
          </w:p>
        </w:tc>
        <w:tc>
          <w:tcPr>
            <w:tcW w:w="8993" w:type="dxa"/>
            <w:gridSpan w:val="4"/>
            <w:tcBorders/>
            <w:vAlign w:val="center"/>
          </w:tcPr>
          <w:p>
            <w:pPr>
              <w:pStyle w:val="TableContents"/>
              <w:bidi w:val="0"/>
              <w:spacing w:before="0" w:after="283"/>
              <w:jc w:val="left"/>
              <w:rPr/>
            </w:pPr>
            <w:r>
              <w:rPr/>
              <w:t>ELIZABETH A. PATRICK</w:t>
            </w:r>
            <w:r>
              <w:rPr>
                <w:color w:val="000000"/>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848" w:type="dxa"/>
            <w:tcBorders/>
            <w:vAlign w:val="center"/>
          </w:tcPr>
          <w:p>
            <w:pPr>
              <w:pStyle w:val="TableContents"/>
              <w:bidi w:val="0"/>
              <w:spacing w:lineRule="atLeast" w:line="310" w:before="0" w:after="0"/>
              <w:jc w:val="left"/>
              <w:rPr>
                <w:rFonts w:ascii="Tahoma;Geneva;sans-serif" w:hAnsi="Tahoma;Geneva;sans-serif"/>
                <w:b/>
                <w:sz w:val="24"/>
              </w:rPr>
            </w:pPr>
            <w:r>
              <w:rPr>
                <w:rFonts w:ascii="Tahoma;Geneva;sans-serif" w:hAnsi="Tahoma;Geneva;sans-serif"/>
                <w:b/>
                <w:sz w:val="24"/>
              </w:rPr>
              <w:t>INDEPENDENT DIRECTOR​</w:t>
            </w:r>
          </w:p>
        </w:tc>
        <w:tc>
          <w:tcPr>
            <w:tcW w:w="109" w:type="dxa"/>
            <w:tcBorders/>
            <w:vAlign w:val="center"/>
          </w:tcPr>
          <w:p>
            <w:pPr>
              <w:pStyle w:val="TableContents"/>
              <w:bidi w:val="0"/>
              <w:spacing w:before="0" w:after="283"/>
              <w:jc w:val="left"/>
              <w:rPr/>
            </w:pPr>
            <w:r>
              <w:rPr/>
              <w:t>​</w:t>
            </w:r>
          </w:p>
        </w:tc>
        <w:tc>
          <w:tcPr>
            <w:tcW w:w="109" w:type="dxa"/>
            <w:vMerge w:val="restart"/>
            <w:tcBorders>
              <w:bottom w:val="single" w:sz="6" w:space="0" w:color="666666"/>
            </w:tcBorders>
            <w:tcMar>
              <w:bottom w:w="28" w:type="dxa"/>
            </w:tcMar>
            <w:vAlign w:val="center"/>
          </w:tcPr>
          <w:p>
            <w:pPr>
              <w:pStyle w:val="TableContents"/>
              <w:bidi w:val="0"/>
              <w:spacing w:before="0" w:after="283"/>
              <w:jc w:val="left"/>
              <w:rPr/>
            </w:pPr>
            <w:r>
              <w:rPr/>
              <w:t>​</w:t>
            </w:r>
          </w:p>
        </w:tc>
        <w:tc>
          <w:tcPr>
            <w:tcW w:w="6927" w:type="dxa"/>
            <w:vMerge w:val="restart"/>
            <w:tcBorders>
              <w:bottom w:val="single" w:sz="6" w:space="0" w:color="666666"/>
            </w:tcBorders>
            <w:tcMar>
              <w:bottom w:w="28" w:type="dxa"/>
            </w:tcMar>
            <w:vAlign w:val="center"/>
          </w:tcPr>
          <w:p>
            <w:pPr>
              <w:pStyle w:val="TableContents"/>
              <w:bidi w:val="0"/>
              <w:spacing w:lineRule="atLeast" w:line="245" w:before="0" w:after="0"/>
              <w:jc w:val="left"/>
              <w:rPr/>
            </w:pPr>
            <w:r>
              <w:rPr>
                <w:spacing w:val="-1"/>
              </w:rPr>
              <w:t>Ms. Patrick brings global expertise in talent strategy, with a strong focus on executive compensation, leadership development, and organizational transformation. Her experience driving large-scale change and implementing HR systems provides a critical perspective to the Board’s oversight of its human capital management strategy.</w:t>
            </w:r>
            <w:r>
              <w:rPr/>
              <w:t xml:space="preserve"> </w:t>
            </w:r>
          </w:p>
          <w:p>
            <w:pPr>
              <w:pStyle w:val="TableContents"/>
              <w:bidi w:val="0"/>
              <w:spacing w:lineRule="atLeast" w:line="245" w:before="200" w:after="283"/>
              <w:jc w:val="left"/>
              <w:rPr/>
            </w:pPr>
            <w:r>
              <w:rPr>
                <w:spacing w:val="-1"/>
              </w:rPr>
              <w:t>Ms. Patrick was the Senior Vice President and Chief People Officer for Diebold Nixdorf, a financial and retail technology company specializing in self-service transaction systems, point-of-sale terminals, physical security products, and software and related services, from 2019 to 2022. Prior to that, she was the Senior Vice President and Chief Human Resources Officer for Veritiv Corporation, a leading provider of packaging, print and facility solutions, from 2014 to 2019.</w:t>
            </w:r>
            <w:r>
              <w:rPr/>
              <w:t xml:space="preserve"> </w:t>
            </w:r>
          </w:p>
          <w:p>
            <w:pPr>
              <w:pStyle w:val="TableContents"/>
              <w:bidi w:val="0"/>
              <w:spacing w:lineRule="atLeast" w:line="245" w:before="200" w:after="283"/>
              <w:jc w:val="left"/>
              <w:rPr>
                <w:spacing w:val="-1"/>
              </w:rPr>
            </w:pPr>
            <w:r>
              <w:rPr>
                <w:spacing w:val="-1"/>
              </w:rPr>
              <w:t xml:space="preserve">Ms. Patrick earned her B.S. in Finance from Michigan State University, and MBA from Wayne State University. </w:t>
            </w:r>
          </w:p>
        </w:tc>
        <w:tc>
          <w:tcPr>
            <w:tcW w:w="155" w:type="dxa"/>
            <w:vMerge w:val="restart"/>
            <w:tcBorders>
              <w:bottom w:val="single" w:sz="6" w:space="0" w:color="666666"/>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848" w:type="dxa"/>
            <w:tcBorders/>
            <w:vAlign w:val="center"/>
          </w:tcPr>
          <w:p>
            <w:pPr>
              <w:pStyle w:val="TableContents"/>
              <w:bidi w:val="0"/>
              <w:spacing w:before="0" w:after="0"/>
              <w:jc w:val="left"/>
              <w:rPr/>
            </w:pPr>
            <w:r>
              <w:rPr>
                <w:spacing w:val="-1"/>
              </w:rPr>
              <w:t>Class: One</w:t>
            </w:r>
            <w:r>
              <w:rPr/>
              <w:t xml:space="preserve"> </w:t>
            </w:r>
          </w:p>
          <w:p>
            <w:pPr>
              <w:pStyle w:val="TableContents"/>
              <w:bidi w:val="0"/>
              <w:spacing w:before="120" w:after="283"/>
              <w:jc w:val="left"/>
              <w:rPr/>
            </w:pPr>
            <w:r>
              <w:rPr>
                <w:spacing w:val="-1"/>
              </w:rPr>
              <w:t>Director Since: 2023</w:t>
            </w:r>
            <w:r>
              <w:rPr/>
              <w:t xml:space="preserve"> </w:t>
            </w:r>
          </w:p>
          <w:p>
            <w:pPr>
              <w:pStyle w:val="TableContents"/>
              <w:bidi w:val="0"/>
              <w:spacing w:before="120" w:after="283"/>
              <w:jc w:val="left"/>
              <w:rPr/>
            </w:pPr>
            <w:r>
              <w:rPr>
                <w:spacing w:val="-1"/>
              </w:rPr>
              <w:t>Term Expires: 2027</w:t>
            </w:r>
            <w:r>
              <w:rPr/>
              <w:t xml:space="preserve"> </w:t>
            </w:r>
          </w:p>
          <w:p>
            <w:pPr>
              <w:pStyle w:val="TableContents"/>
              <w:bidi w:val="0"/>
              <w:spacing w:before="120" w:after="283"/>
              <w:jc w:val="left"/>
              <w:rPr/>
            </w:pPr>
            <w:r>
              <w:rPr>
                <w:spacing w:val="-1"/>
              </w:rPr>
              <w:t>Age: 58</w:t>
            </w:r>
            <w:r>
              <w:rPr/>
              <w:t xml:space="preserve"> </w:t>
            </w:r>
          </w:p>
          <w:p>
            <w:pPr>
              <w:pStyle w:val="TableContents"/>
              <w:bidi w:val="0"/>
              <w:spacing w:before="340" w:after="283"/>
              <w:jc w:val="left"/>
              <w:rPr>
                <w:rFonts w:ascii="Tahoma;Geneva;sans-serif" w:hAnsi="Tahoma;Geneva;sans-serif"/>
                <w:b/>
                <w:sz w:val="24"/>
              </w:rPr>
            </w:pPr>
            <w:r>
              <w:rPr>
                <w:rFonts w:ascii="Tahoma;Geneva;sans-serif" w:hAnsi="Tahoma;Geneva;sans-serif"/>
                <w:b/>
                <w:sz w:val="24"/>
              </w:rPr>
              <w:t>BOARD COMMITTEES</w:t>
            </w:r>
          </w:p>
          <w:p>
            <w:pPr>
              <w:pStyle w:val="TableContents"/>
              <w:bidi w:val="0"/>
              <w:spacing w:lineRule="atLeast" w:line="245" w:before="70" w:after="283"/>
              <w:jc w:val="left"/>
              <w:rPr/>
            </w:pPr>
            <w:r>
              <w:rPr>
                <w:spacing w:val="-1"/>
              </w:rPr>
              <w:t xml:space="preserve">Compensation and </w:t>
              <w:br/>
              <w:t>Human Capital</w:t>
            </w:r>
            <w:r>
              <w:rPr/>
              <w:t xml:space="preserve"> </w:t>
            </w:r>
          </w:p>
          <w:p>
            <w:pPr>
              <w:pStyle w:val="TableContents"/>
              <w:bidi w:val="0"/>
              <w:spacing w:before="340" w:after="283"/>
              <w:jc w:val="left"/>
              <w:rPr>
                <w:rFonts w:ascii="Tahoma;Geneva;sans-serif" w:hAnsi="Tahoma;Geneva;sans-serif"/>
                <w:b/>
                <w:sz w:val="24"/>
              </w:rPr>
            </w:pPr>
            <w:r>
              <w:rPr>
                <w:rFonts w:ascii="Tahoma;Geneva;sans-serif" w:hAnsi="Tahoma;Geneva;sans-serif"/>
                <w:b/>
                <w:sz w:val="24"/>
              </w:rPr>
              <w:t>OTHER PUBLIC COMPANY</w:t>
            </w:r>
          </w:p>
          <w:p>
            <w:pPr>
              <w:pStyle w:val="TableContents"/>
              <w:bidi w:val="0"/>
              <w:spacing w:lineRule="atLeast" w:line="175" w:before="20" w:after="283"/>
              <w:jc w:val="left"/>
              <w:rPr>
                <w:rFonts w:ascii="Tahoma;Geneva;sans-serif" w:hAnsi="Tahoma;Geneva;sans-serif"/>
                <w:b/>
                <w:sz w:val="24"/>
              </w:rPr>
            </w:pPr>
            <w:r>
              <w:rPr>
                <w:rFonts w:ascii="Tahoma;Geneva;sans-serif" w:hAnsi="Tahoma;Geneva;sans-serif"/>
                <w:b/>
                <w:sz w:val="24"/>
              </w:rPr>
              <w:t>BOARDS</w:t>
            </w:r>
            <w:r>
              <w:rPr>
                <w:rFonts w:ascii="Tahoma;Geneva;sans-serif" w:hAnsi="Tahoma;Geneva;sans-serif"/>
                <w:b/>
                <w:spacing w:val="-1"/>
                <w:sz w:val="24"/>
              </w:rPr>
              <w:t xml:space="preserve"> </w:t>
            </w:r>
            <w:r>
              <w:rPr>
                <w:rFonts w:ascii="Arial;Helvetica;sans-serif" w:hAnsi="Arial;Helvetica;sans-serif"/>
                <w:b w:val="false"/>
                <w:spacing w:val="-1"/>
                <w:sz w:val="18"/>
              </w:rPr>
              <w:t>(past five years)</w:t>
            </w:r>
          </w:p>
          <w:p>
            <w:pPr>
              <w:pStyle w:val="TableContents"/>
              <w:bidi w:val="0"/>
              <w:spacing w:before="70" w:after="283"/>
              <w:jc w:val="left"/>
              <w:rPr/>
            </w:pPr>
            <w:r>
              <w:rPr>
                <w:spacing w:val="-1"/>
              </w:rPr>
              <w:t>None</w:t>
            </w:r>
            <w:r>
              <w:rPr/>
              <w:t xml:space="preserve"> </w:t>
            </w:r>
          </w:p>
        </w:tc>
        <w:tc>
          <w:tcPr>
            <w:tcW w:w="109" w:type="dxa"/>
            <w:tcBorders/>
            <w:vAlign w:val="center"/>
          </w:tcPr>
          <w:p>
            <w:pPr>
              <w:pStyle w:val="TableContents"/>
              <w:bidi w:val="0"/>
              <w:spacing w:before="0" w:after="283"/>
              <w:jc w:val="left"/>
              <w:rPr/>
            </w:pPr>
            <w:r>
              <w:rPr/>
              <w:t>​</w:t>
            </w:r>
          </w:p>
        </w:tc>
        <w:tc>
          <w:tcPr>
            <w:tcW w:w="109" w:type="dxa"/>
            <w:vMerge w:val="continue"/>
            <w:tcBorders>
              <w:bottom w:val="single" w:sz="6" w:space="0" w:color="666666"/>
            </w:tcBorders>
            <w:tcMar>
              <w:bottom w:w="28" w:type="dxa"/>
            </w:tcMar>
            <w:vAlign w:val="center"/>
          </w:tcPr>
          <w:p>
            <w:pPr>
              <w:pStyle w:val="Normal"/>
              <w:bidi w:val="0"/>
              <w:jc w:val="left"/>
              <w:rPr/>
            </w:pPr>
            <w:r>
              <w:rPr/>
            </w:r>
          </w:p>
        </w:tc>
        <w:tc>
          <w:tcPr>
            <w:tcW w:w="6927" w:type="dxa"/>
            <w:vMerge w:val="continue"/>
            <w:tcBorders>
              <w:bottom w:val="single" w:sz="6" w:space="0" w:color="666666"/>
            </w:tcBorders>
            <w:tcMar>
              <w:bottom w:w="28" w:type="dxa"/>
            </w:tcMar>
            <w:vAlign w:val="center"/>
          </w:tcPr>
          <w:p>
            <w:pPr>
              <w:pStyle w:val="Normal"/>
              <w:bidi w:val="0"/>
              <w:jc w:val="left"/>
              <w:rPr/>
            </w:pPr>
            <w:r>
              <w:rPr/>
            </w:r>
          </w:p>
        </w:tc>
        <w:tc>
          <w:tcPr>
            <w:tcW w:w="155" w:type="dxa"/>
            <w:vMerge w:val="continue"/>
            <w:tcBorders>
              <w:bottom w:val="single" w:sz="6" w:space="0" w:color="666666"/>
            </w:tcBorders>
            <w:tcMar>
              <w:bottom w:w="28" w:type="dxa"/>
            </w:tcMar>
            <w:vAlign w:val="center"/>
          </w:tcPr>
          <w:p>
            <w:pPr>
              <w:pStyle w:val="Normal"/>
              <w:bidi w:val="0"/>
              <w:jc w:val="left"/>
              <w:rPr/>
            </w:pPr>
            <w:r>
              <w:rPr/>
            </w:r>
          </w:p>
        </w:tc>
      </w:tr>
    </w:tbl>
    <w:tbl>
      <w:tblPr>
        <w:tblW w:w="9272" w:type="dxa"/>
        <w:jc w:val="left"/>
        <w:tblInd w:w="893" w:type="dxa"/>
        <w:tblLayout w:type="fixed"/>
        <w:tblCellMar>
          <w:top w:w="0" w:type="dxa"/>
          <w:left w:w="0" w:type="dxa"/>
          <w:bottom w:w="0" w:type="dxa"/>
          <w:right w:w="0" w:type="dxa"/>
        </w:tblCellMar>
      </w:tblPr>
      <w:tblGrid>
        <w:gridCol w:w="124"/>
        <w:gridCol w:w="1840"/>
        <w:gridCol w:w="109"/>
        <w:gridCol w:w="109"/>
        <w:gridCol w:w="6935"/>
        <w:gridCol w:w="155"/>
      </w:tblGrid>
      <w:tr>
        <w:trPr/>
        <w:tc>
          <w:tcPr>
            <w:tcW w:w="124" w:type="dxa"/>
            <w:tcBorders/>
            <w:vAlign w:val="center"/>
          </w:tcPr>
          <w:p>
            <w:pPr>
              <w:pStyle w:val="TableContents"/>
              <w:bidi w:val="0"/>
              <w:spacing w:before="0" w:after="283"/>
              <w:jc w:val="left"/>
              <w:rPr/>
            </w:pPr>
            <w:r>
              <w:rPr/>
              <w:t>​</w:t>
            </w:r>
          </w:p>
        </w:tc>
        <w:tc>
          <w:tcPr>
            <w:tcW w:w="8993" w:type="dxa"/>
            <w:gridSpan w:val="4"/>
            <w:tcBorders/>
            <w:vAlign w:val="center"/>
          </w:tcPr>
          <w:p>
            <w:pPr>
              <w:pStyle w:val="TableContents"/>
              <w:bidi w:val="0"/>
              <w:spacing w:before="0" w:after="283"/>
              <w:jc w:val="left"/>
              <w:rPr/>
            </w:pPr>
            <w:r>
              <w:rPr/>
              <w:t>HOWARD H. XIA</w:t>
            </w:r>
            <w:r>
              <w:rPr>
                <w:color w:val="000000"/>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840" w:type="dxa"/>
            <w:tcBorders/>
            <w:vAlign w:val="center"/>
          </w:tcPr>
          <w:p>
            <w:pPr>
              <w:pStyle w:val="TableContents"/>
              <w:bidi w:val="0"/>
              <w:spacing w:lineRule="atLeast" w:line="310" w:before="0" w:after="0"/>
              <w:jc w:val="left"/>
              <w:rPr>
                <w:rFonts w:ascii="Tahoma;Geneva;sans-serif" w:hAnsi="Tahoma;Geneva;sans-serif"/>
                <w:b/>
                <w:sz w:val="24"/>
              </w:rPr>
            </w:pPr>
            <w:r>
              <w:rPr>
                <w:rFonts w:ascii="Tahoma;Geneva;sans-serif" w:hAnsi="Tahoma;Geneva;sans-serif"/>
                <w:b/>
                <w:sz w:val="24"/>
              </w:rPr>
              <w:t>INDEPENDENT DIRECTOR​</w:t>
            </w:r>
          </w:p>
        </w:tc>
        <w:tc>
          <w:tcPr>
            <w:tcW w:w="109" w:type="dxa"/>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6935" w:type="dxa"/>
            <w:vMerge w:val="restart"/>
            <w:tcBorders/>
            <w:vAlign w:val="center"/>
          </w:tcPr>
          <w:p>
            <w:pPr>
              <w:pStyle w:val="TableContents"/>
              <w:bidi w:val="0"/>
              <w:spacing w:lineRule="atLeast" w:line="245" w:before="0" w:after="0"/>
              <w:jc w:val="left"/>
              <w:rPr/>
            </w:pPr>
            <w:r>
              <w:rPr>
                <w:spacing w:val="-1"/>
              </w:rPr>
              <w:t>Dr. Xia is an experienced global telecommunications industry leader, with extensive knowledge of global operations and telecom markets across Asia. His technical background, leadership experience, and experience guiding successful cross-border operations enhance the Board’s global perspective and strategic planning in critical markets.</w:t>
            </w:r>
            <w:r>
              <w:rPr/>
              <w:t xml:space="preserve"> </w:t>
            </w:r>
          </w:p>
          <w:p>
            <w:pPr>
              <w:pStyle w:val="TableContents"/>
              <w:bidi w:val="0"/>
              <w:spacing w:lineRule="atLeast" w:line="245" w:before="200" w:after="283"/>
              <w:jc w:val="left"/>
              <w:rPr/>
            </w:pPr>
            <w:r>
              <w:rPr>
                <w:spacing w:val="-1"/>
              </w:rPr>
              <w:t>Dr. Xia was formerly General Manager of Vodafone China Limited, a wholly-owned subsidiary of Vodafone Group Plc, a telecommunications company, from 2001 to 2014. From 1994 to 2001, he served as a Director, Technology Strategy for Vodafone AirTouch Plc and AirTouch Communications, Inc. He served as a Senior Staff Engineer at Telesis Technology Laboratory from 1992 to 1994, and was a Senior Engineer at PacTel Cellular from 1990 to 1992.</w:t>
            </w:r>
            <w:r>
              <w:rPr/>
              <w:t xml:space="preserve"> </w:t>
            </w:r>
          </w:p>
          <w:p>
            <w:pPr>
              <w:pStyle w:val="TableContents"/>
              <w:bidi w:val="0"/>
              <w:spacing w:lineRule="atLeast" w:line="245" w:before="200" w:after="283"/>
              <w:jc w:val="left"/>
              <w:rPr>
                <w:spacing w:val="-1"/>
              </w:rPr>
            </w:pPr>
            <w:r>
              <w:rPr>
                <w:spacing w:val="-1"/>
              </w:rPr>
              <w:t xml:space="preserve">Dr. Xia holds a B.S. degree in Physics from South China Normal University, an M.S. in Physics and Electrical Engineering, and a Ph.D. in Electrophysics, from Polytechnic School of Engineering of New York University. </w:t>
            </w:r>
          </w:p>
        </w:tc>
        <w:tc>
          <w:tcPr>
            <w:tcW w:w="155" w:type="dxa"/>
            <w:vMerge w:val="restart"/>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840" w:type="dxa"/>
            <w:tcBorders/>
            <w:vAlign w:val="center"/>
          </w:tcPr>
          <w:p>
            <w:pPr>
              <w:pStyle w:val="TableContents"/>
              <w:bidi w:val="0"/>
              <w:spacing w:before="0" w:after="0"/>
              <w:jc w:val="left"/>
              <w:rPr/>
            </w:pPr>
            <w:r>
              <w:rPr>
                <w:spacing w:val="-1"/>
              </w:rPr>
              <w:t>Class: One</w:t>
            </w:r>
            <w:r>
              <w:rPr/>
              <w:t xml:space="preserve"> </w:t>
            </w:r>
          </w:p>
          <w:p>
            <w:pPr>
              <w:pStyle w:val="TableContents"/>
              <w:bidi w:val="0"/>
              <w:spacing w:before="120" w:after="283"/>
              <w:jc w:val="left"/>
              <w:rPr/>
            </w:pPr>
            <w:r>
              <w:rPr>
                <w:spacing w:val="-1"/>
              </w:rPr>
              <w:t>Director Since: 2011</w:t>
            </w:r>
            <w:r>
              <w:rPr/>
              <w:t xml:space="preserve"> </w:t>
            </w:r>
          </w:p>
          <w:p>
            <w:pPr>
              <w:pStyle w:val="TableContents"/>
              <w:bidi w:val="0"/>
              <w:spacing w:before="120" w:after="283"/>
              <w:jc w:val="left"/>
              <w:rPr/>
            </w:pPr>
            <w:r>
              <w:rPr>
                <w:spacing w:val="-1"/>
              </w:rPr>
              <w:t>Term Expires: 2027</w:t>
            </w:r>
            <w:r>
              <w:rPr/>
              <w:t xml:space="preserve"> </w:t>
            </w:r>
          </w:p>
          <w:p>
            <w:pPr>
              <w:pStyle w:val="TableContents"/>
              <w:bidi w:val="0"/>
              <w:spacing w:before="120" w:after="283"/>
              <w:jc w:val="left"/>
              <w:rPr/>
            </w:pPr>
            <w:r>
              <w:rPr>
                <w:spacing w:val="-1"/>
              </w:rPr>
              <w:t>Age: 66</w:t>
            </w:r>
            <w:r>
              <w:rPr/>
              <w:t xml:space="preserve"> </w:t>
            </w:r>
          </w:p>
          <w:p>
            <w:pPr>
              <w:pStyle w:val="TableContents"/>
              <w:bidi w:val="0"/>
              <w:spacing w:before="340" w:after="283"/>
              <w:jc w:val="left"/>
              <w:rPr>
                <w:rFonts w:ascii="Tahoma;Geneva;sans-serif" w:hAnsi="Tahoma;Geneva;sans-serif"/>
                <w:b/>
                <w:sz w:val="24"/>
              </w:rPr>
            </w:pPr>
            <w:r>
              <w:rPr>
                <w:rFonts w:ascii="Tahoma;Geneva;sans-serif" w:hAnsi="Tahoma;Geneva;sans-serif"/>
                <w:b/>
                <w:sz w:val="24"/>
              </w:rPr>
              <w:t>BOARD COMMITTEES</w:t>
            </w:r>
          </w:p>
          <w:p>
            <w:pPr>
              <w:pStyle w:val="TableContents"/>
              <w:bidi w:val="0"/>
              <w:spacing w:lineRule="atLeast" w:line="245" w:before="70" w:after="283"/>
              <w:jc w:val="left"/>
              <w:rPr/>
            </w:pPr>
            <w:r>
              <w:rPr>
                <w:spacing w:val="-1"/>
              </w:rPr>
              <w:t xml:space="preserve">Compensation and </w:t>
              <w:br/>
              <w:t>Human Capital</w:t>
            </w:r>
            <w:r>
              <w:rPr/>
              <w:t xml:space="preserve"> </w:t>
            </w:r>
          </w:p>
          <w:p>
            <w:pPr>
              <w:pStyle w:val="TableContents"/>
              <w:bidi w:val="0"/>
              <w:spacing w:before="340" w:after="283"/>
              <w:jc w:val="left"/>
              <w:rPr>
                <w:rFonts w:ascii="Tahoma;Geneva;sans-serif" w:hAnsi="Tahoma;Geneva;sans-serif"/>
                <w:b/>
                <w:sz w:val="24"/>
              </w:rPr>
            </w:pPr>
            <w:r>
              <w:rPr>
                <w:rFonts w:ascii="Tahoma;Geneva;sans-serif" w:hAnsi="Tahoma;Geneva;sans-serif"/>
                <w:b/>
                <w:sz w:val="24"/>
              </w:rPr>
              <w:t>OTHER PUBLIC COMPANY</w:t>
            </w:r>
          </w:p>
          <w:p>
            <w:pPr>
              <w:pStyle w:val="TableContents"/>
              <w:bidi w:val="0"/>
              <w:spacing w:lineRule="atLeast" w:line="175" w:before="20" w:after="283"/>
              <w:jc w:val="left"/>
              <w:rPr>
                <w:rFonts w:ascii="Tahoma;Geneva;sans-serif" w:hAnsi="Tahoma;Geneva;sans-serif"/>
                <w:b/>
                <w:sz w:val="24"/>
              </w:rPr>
            </w:pPr>
            <w:r>
              <w:rPr>
                <w:rFonts w:ascii="Tahoma;Geneva;sans-serif" w:hAnsi="Tahoma;Geneva;sans-serif"/>
                <w:b/>
                <w:sz w:val="24"/>
              </w:rPr>
              <w:t>BOARDS</w:t>
            </w:r>
            <w:r>
              <w:rPr>
                <w:rFonts w:ascii="Tahoma;Geneva;sans-serif" w:hAnsi="Tahoma;Geneva;sans-serif"/>
                <w:b/>
                <w:spacing w:val="-1"/>
                <w:sz w:val="24"/>
              </w:rPr>
              <w:t xml:space="preserve"> </w:t>
            </w:r>
            <w:r>
              <w:rPr>
                <w:rFonts w:ascii="Arial;Helvetica;sans-serif" w:hAnsi="Arial;Helvetica;sans-serif"/>
                <w:b w:val="false"/>
                <w:spacing w:val="-1"/>
                <w:sz w:val="18"/>
              </w:rPr>
              <w:t>(past five years)</w:t>
            </w:r>
          </w:p>
          <w:p>
            <w:pPr>
              <w:pStyle w:val="TableContents"/>
              <w:bidi w:val="0"/>
              <w:spacing w:before="70" w:after="283"/>
              <w:jc w:val="left"/>
              <w:rPr/>
            </w:pPr>
            <w:r>
              <w:rPr>
                <w:spacing w:val="-1"/>
              </w:rPr>
              <w:t>None</w:t>
            </w:r>
            <w:r>
              <w:rPr/>
              <w:t xml:space="preserve"> </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6935"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17</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440" w:before="120" w:after="5165"/>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EXISTING CLASS TWO DIRECTORS WHOSE TERM EXPIRES IN 2028</w:t>
      </w:r>
      <w:r>
        <w:rPr>
          <w:rFonts w:ascii="Tahoma;Geneva;sans-serif" w:hAnsi="Tahoma;Geneva;sans-serif"/>
          <w:b/>
          <w:i w:val="false"/>
          <w:caps w:val="false"/>
          <w:smallCaps w:val="false"/>
          <w:color w:val="000000"/>
          <w:spacing w:val="8"/>
          <w:sz w:val="40"/>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1799"/>
        <w:gridCol w:w="109"/>
        <w:gridCol w:w="109"/>
        <w:gridCol w:w="6976"/>
        <w:gridCol w:w="155"/>
      </w:tblGrid>
      <w:tr>
        <w:trPr/>
        <w:tc>
          <w:tcPr>
            <w:tcW w:w="124" w:type="dxa"/>
            <w:tcBorders/>
            <w:vAlign w:val="center"/>
          </w:tcPr>
          <w:p>
            <w:pPr>
              <w:pStyle w:val="TableContents"/>
              <w:bidi w:val="0"/>
              <w:spacing w:before="0" w:after="283"/>
              <w:jc w:val="left"/>
              <w:rPr/>
            </w:pPr>
            <w:r>
              <w:rPr/>
              <w:t>​</w:t>
            </w:r>
          </w:p>
        </w:tc>
        <w:tc>
          <w:tcPr>
            <w:tcW w:w="8993" w:type="dxa"/>
            <w:gridSpan w:val="4"/>
            <w:tcBorders/>
            <w:vAlign w:val="center"/>
          </w:tcPr>
          <w:p>
            <w:pPr>
              <w:pStyle w:val="TableContents"/>
              <w:bidi w:val="0"/>
              <w:spacing w:before="0" w:after="283"/>
              <w:jc w:val="left"/>
              <w:rPr/>
            </w:pPr>
            <w:r>
              <w:rPr/>
              <w:t>ENRICO DIGIROLAMO</w:t>
            </w:r>
            <w:r>
              <w:rPr>
                <w:color w:val="000000"/>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99" w:type="dxa"/>
            <w:tcBorders/>
            <w:vAlign w:val="center"/>
          </w:tcPr>
          <w:p>
            <w:pPr>
              <w:pStyle w:val="TableContents"/>
              <w:bidi w:val="0"/>
              <w:spacing w:lineRule="atLeast" w:line="300" w:before="0" w:after="0"/>
              <w:jc w:val="left"/>
              <w:rPr>
                <w:rFonts w:ascii="Tahoma;Geneva;sans-serif" w:hAnsi="Tahoma;Geneva;sans-serif"/>
                <w:b/>
                <w:sz w:val="24"/>
              </w:rPr>
            </w:pPr>
            <w:r>
              <w:rPr>
                <w:rFonts w:ascii="Tahoma;Geneva;sans-serif" w:hAnsi="Tahoma;Geneva;sans-serif"/>
                <w:b/>
                <w:sz w:val="24"/>
              </w:rPr>
              <w:t>INDEPENDENT BOARD CHAIR</w:t>
            </w:r>
          </w:p>
        </w:tc>
        <w:tc>
          <w:tcPr>
            <w:tcW w:w="109" w:type="dxa"/>
            <w:tcBorders/>
            <w:vAlign w:val="center"/>
          </w:tcPr>
          <w:p>
            <w:pPr>
              <w:pStyle w:val="TableContents"/>
              <w:bidi w:val="0"/>
              <w:spacing w:before="0" w:after="283"/>
              <w:jc w:val="left"/>
              <w:rPr/>
            </w:pPr>
            <w:r>
              <w:rPr/>
              <w:t>​</w:t>
            </w:r>
          </w:p>
        </w:tc>
        <w:tc>
          <w:tcPr>
            <w:tcW w:w="109" w:type="dxa"/>
            <w:vMerge w:val="restart"/>
            <w:tcBorders>
              <w:bottom w:val="single" w:sz="6" w:space="0" w:color="666666"/>
            </w:tcBorders>
            <w:tcMar>
              <w:bottom w:w="28" w:type="dxa"/>
            </w:tcMar>
            <w:vAlign w:val="center"/>
          </w:tcPr>
          <w:p>
            <w:pPr>
              <w:pStyle w:val="TableContents"/>
              <w:bidi w:val="0"/>
              <w:spacing w:before="0" w:after="283"/>
              <w:jc w:val="left"/>
              <w:rPr/>
            </w:pPr>
            <w:r>
              <w:rPr/>
              <w:t>​</w:t>
            </w:r>
          </w:p>
        </w:tc>
        <w:tc>
          <w:tcPr>
            <w:tcW w:w="6976" w:type="dxa"/>
            <w:vMerge w:val="restart"/>
            <w:tcBorders>
              <w:bottom w:val="single" w:sz="6" w:space="0" w:color="666666"/>
            </w:tcBorders>
            <w:tcMar>
              <w:bottom w:w="295" w:type="dxa"/>
            </w:tcMar>
            <w:vAlign w:val="center"/>
          </w:tcPr>
          <w:p>
            <w:pPr>
              <w:pStyle w:val="TableContents"/>
              <w:bidi w:val="0"/>
              <w:spacing w:lineRule="atLeast" w:line="245" w:before="0" w:after="0"/>
              <w:jc w:val="left"/>
              <w:rPr/>
            </w:pPr>
            <w:r>
              <w:rPr>
                <w:spacing w:val="-1"/>
              </w:rPr>
              <w:t>Mr. DiGirolamo is a proven global business leader who brings decades of experience driving strategic transformation and financial performance across technology, manufacturing, and mobility sectors. His deep expertise in corporate finance, coupled with senior leadership roles at Fortune 100 and growth-stage companies strengthens the Board’s oversight of complex international operations, risk management, and value creation.</w:t>
            </w:r>
            <w:r>
              <w:rPr/>
              <w:t xml:space="preserve"> </w:t>
            </w:r>
          </w:p>
          <w:p>
            <w:pPr>
              <w:pStyle w:val="TableContents"/>
              <w:bidi w:val="0"/>
              <w:spacing w:lineRule="atLeast" w:line="245" w:before="180" w:after="283"/>
              <w:jc w:val="left"/>
              <w:rPr/>
            </w:pPr>
            <w:r>
              <w:rPr>
                <w:spacing w:val="-1"/>
              </w:rPr>
              <w:t>Mr. DiGirolamo is currently a senior advisor to technology companies, manufacturing concerns, and private equity firms. He is an Operating Advisor for AFI Partners, and serves on the boards of its portfolio companies. Mr. DiGirolamo is also a Senior Advisor for Franchise Equity Partners. From 2013 to 2017, Mr. DiGirolamo served as Chief Financial Officer and Senior Vice President of Covisint Corporation, a leading cloud computing company for the Internet of Things and Identity platforms. Mr. DiGirolamo was with Allstate Insurance from 2010 to 2013, where he served as Senior Vice President. From 2008 to 2010, Mr. DiGirolamo served as Vice President and Chief Financial Officer for General Motors in Europe. During a 31-year career with General Motors, Mr. DiGirolamo held a variety of senior executive positions throughout the corporation, including 12 years outside the United States.</w:t>
            </w:r>
            <w:r>
              <w:rPr/>
              <w:t xml:space="preserve"> </w:t>
            </w:r>
          </w:p>
          <w:p>
            <w:pPr>
              <w:pStyle w:val="TableContents"/>
              <w:bidi w:val="0"/>
              <w:spacing w:lineRule="atLeast" w:line="245" w:before="180" w:after="283"/>
              <w:jc w:val="left"/>
              <w:rPr/>
            </w:pPr>
            <w:r>
              <w:rPr>
                <w:spacing w:val="-1"/>
              </w:rPr>
              <w:t>Mr. DiGirolamo has served on the board of directors of SAAB Sweden (2008-2010), Metromedia International Group (2010-2017), Premier Trailer Leasing, Inc. (2012-2013), IdentiFix (2013-2014), GTS Ireland (2018-2023), Garsite (2018-2023), and Europa Sports (2021-2024).</w:t>
            </w:r>
            <w:r>
              <w:rPr/>
              <w:t xml:space="preserve"> </w:t>
            </w:r>
          </w:p>
          <w:p>
            <w:pPr>
              <w:pStyle w:val="TableContents"/>
              <w:bidi w:val="0"/>
              <w:spacing w:lineRule="atLeast" w:line="245" w:before="180" w:after="283"/>
              <w:jc w:val="left"/>
              <w:rPr>
                <w:spacing w:val="-1"/>
              </w:rPr>
            </w:pPr>
            <w:r>
              <w:rPr>
                <w:spacing w:val="-1"/>
              </w:rPr>
              <w:t xml:space="preserve">Mr. DiGirolamo holds a B.S. degree from Central Michigan University, where he delivered a commencement address, was awarded an honorary doctorate, and has been inducted into the Business School Hall of Fame, an MBA from Eastern Michigan University, and completed the Senior Executive Program at the International Institute for Management Development in Lausanne, Switzerland. He is a member of the Dean’s Leadership Roundtable at Central Michigan University, a member of the Detroit Opera House board of directors and board of trustees, and a member of both the Technical Advisory Committee and the Finance Council for the Archdiocese of Detroit. </w:t>
            </w:r>
          </w:p>
        </w:tc>
        <w:tc>
          <w:tcPr>
            <w:tcW w:w="155" w:type="dxa"/>
            <w:vMerge w:val="restart"/>
            <w:tcBorders>
              <w:bottom w:val="single" w:sz="6" w:space="0" w:color="666666"/>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99" w:type="dxa"/>
            <w:tcBorders/>
            <w:vAlign w:val="center"/>
          </w:tcPr>
          <w:p>
            <w:pPr>
              <w:pStyle w:val="TableContents"/>
              <w:bidi w:val="0"/>
              <w:spacing w:before="0" w:after="0"/>
              <w:jc w:val="left"/>
              <w:rPr/>
            </w:pPr>
            <w:r>
              <w:rPr>
                <w:spacing w:val="-1"/>
              </w:rPr>
              <w:t>Class: Two</w:t>
            </w:r>
            <w:r>
              <w:rPr/>
              <w:t xml:space="preserve"> </w:t>
            </w:r>
          </w:p>
          <w:p>
            <w:pPr>
              <w:pStyle w:val="TableContents"/>
              <w:bidi w:val="0"/>
              <w:spacing w:before="120" w:after="283"/>
              <w:jc w:val="left"/>
              <w:rPr/>
            </w:pPr>
            <w:r>
              <w:rPr>
                <w:spacing w:val="-1"/>
              </w:rPr>
              <w:t>Director Since: 2018</w:t>
            </w:r>
            <w:r>
              <w:rPr/>
              <w:t xml:space="preserve"> </w:t>
            </w:r>
          </w:p>
          <w:p>
            <w:pPr>
              <w:pStyle w:val="TableContents"/>
              <w:bidi w:val="0"/>
              <w:spacing w:before="120" w:after="283"/>
              <w:jc w:val="left"/>
              <w:rPr/>
            </w:pPr>
            <w:r>
              <w:rPr>
                <w:spacing w:val="-1"/>
              </w:rPr>
              <w:t>Term Expires: 2028</w:t>
            </w:r>
            <w:r>
              <w:rPr/>
              <w:t xml:space="preserve"> </w:t>
            </w:r>
          </w:p>
          <w:p>
            <w:pPr>
              <w:pStyle w:val="TableContents"/>
              <w:bidi w:val="0"/>
              <w:spacing w:before="120" w:after="283"/>
              <w:jc w:val="left"/>
              <w:rPr/>
            </w:pPr>
            <w:r>
              <w:rPr>
                <w:spacing w:val="-1"/>
              </w:rPr>
              <w:t>Age: 71</w:t>
            </w:r>
            <w:r>
              <w:rPr/>
              <w:t xml:space="preserve"> </w:t>
            </w:r>
          </w:p>
          <w:p>
            <w:pPr>
              <w:pStyle w:val="TableContents"/>
              <w:bidi w:val="0"/>
              <w:spacing w:before="340" w:after="283"/>
              <w:jc w:val="left"/>
              <w:rPr>
                <w:rFonts w:ascii="Tahoma;Geneva;sans-serif" w:hAnsi="Tahoma;Geneva;sans-serif"/>
                <w:b/>
                <w:sz w:val="24"/>
              </w:rPr>
            </w:pPr>
            <w:r>
              <w:rPr>
                <w:rFonts w:ascii="Tahoma;Geneva;sans-serif" w:hAnsi="Tahoma;Geneva;sans-serif"/>
                <w:b/>
                <w:sz w:val="24"/>
              </w:rPr>
              <w:t>BOARD COMMITTEES</w:t>
            </w:r>
          </w:p>
          <w:p>
            <w:pPr>
              <w:pStyle w:val="TableContents"/>
              <w:bidi w:val="0"/>
              <w:spacing w:before="70" w:after="283"/>
              <w:jc w:val="left"/>
              <w:rPr/>
            </w:pPr>
            <w:r>
              <w:rPr>
                <w:spacing w:val="-1"/>
              </w:rPr>
              <w:t>Audit and Risk</w:t>
            </w:r>
            <w:r>
              <w:rPr/>
              <w:t xml:space="preserve"> </w:t>
            </w:r>
          </w:p>
          <w:p>
            <w:pPr>
              <w:pStyle w:val="TableContents"/>
              <w:bidi w:val="0"/>
              <w:spacing w:before="340" w:after="283"/>
              <w:jc w:val="left"/>
              <w:rPr>
                <w:rFonts w:ascii="Tahoma;Geneva;sans-serif" w:hAnsi="Tahoma;Geneva;sans-serif"/>
                <w:b/>
                <w:sz w:val="24"/>
              </w:rPr>
            </w:pPr>
            <w:r>
              <w:rPr>
                <w:rFonts w:ascii="Tahoma;Geneva;sans-serif" w:hAnsi="Tahoma;Geneva;sans-serif"/>
                <w:b/>
                <w:sz w:val="24"/>
              </w:rPr>
              <w:t>OTHER PUBLIC COMPANY</w:t>
            </w:r>
          </w:p>
          <w:p>
            <w:pPr>
              <w:pStyle w:val="TableContents"/>
              <w:bidi w:val="0"/>
              <w:spacing w:lineRule="atLeast" w:line="175" w:before="20" w:after="283"/>
              <w:jc w:val="left"/>
              <w:rPr>
                <w:rFonts w:ascii="Tahoma;Geneva;sans-serif" w:hAnsi="Tahoma;Geneva;sans-serif"/>
                <w:b/>
                <w:sz w:val="24"/>
              </w:rPr>
            </w:pPr>
            <w:r>
              <w:rPr>
                <w:rFonts w:ascii="Tahoma;Geneva;sans-serif" w:hAnsi="Tahoma;Geneva;sans-serif"/>
                <w:b/>
                <w:sz w:val="24"/>
              </w:rPr>
              <w:t>BOARDS</w:t>
            </w:r>
            <w:r>
              <w:rPr>
                <w:rFonts w:ascii="Tahoma;Geneva;sans-serif" w:hAnsi="Tahoma;Geneva;sans-serif"/>
                <w:b/>
                <w:spacing w:val="-1"/>
                <w:sz w:val="24"/>
              </w:rPr>
              <w:t xml:space="preserve"> </w:t>
            </w:r>
            <w:r>
              <w:rPr>
                <w:rFonts w:ascii="Arial;Helvetica;sans-serif" w:hAnsi="Arial;Helvetica;sans-serif"/>
                <w:b w:val="false"/>
                <w:spacing w:val="-1"/>
                <w:sz w:val="18"/>
              </w:rPr>
              <w:t>(past five years)</w:t>
            </w:r>
          </w:p>
          <w:p>
            <w:pPr>
              <w:pStyle w:val="TableContents"/>
              <w:bidi w:val="0"/>
              <w:spacing w:before="70" w:after="283"/>
              <w:jc w:val="left"/>
              <w:rPr/>
            </w:pPr>
            <w:r>
              <w:rPr>
                <w:spacing w:val="-1"/>
              </w:rPr>
              <w:t>None</w:t>
            </w:r>
            <w:r>
              <w:rPr/>
              <w:t xml:space="preserve"> </w:t>
            </w:r>
          </w:p>
        </w:tc>
        <w:tc>
          <w:tcPr>
            <w:tcW w:w="109" w:type="dxa"/>
            <w:tcBorders/>
            <w:vAlign w:val="center"/>
          </w:tcPr>
          <w:p>
            <w:pPr>
              <w:pStyle w:val="TableContents"/>
              <w:bidi w:val="0"/>
              <w:spacing w:before="0" w:after="283"/>
              <w:jc w:val="left"/>
              <w:rPr/>
            </w:pPr>
            <w:r>
              <w:rPr/>
              <w:t>​</w:t>
            </w:r>
          </w:p>
        </w:tc>
        <w:tc>
          <w:tcPr>
            <w:tcW w:w="109" w:type="dxa"/>
            <w:vMerge w:val="continue"/>
            <w:tcBorders>
              <w:bottom w:val="single" w:sz="6" w:space="0" w:color="666666"/>
            </w:tcBorders>
            <w:tcMar>
              <w:bottom w:w="28" w:type="dxa"/>
            </w:tcMar>
            <w:vAlign w:val="center"/>
          </w:tcPr>
          <w:p>
            <w:pPr>
              <w:pStyle w:val="Normal"/>
              <w:bidi w:val="0"/>
              <w:jc w:val="left"/>
              <w:rPr/>
            </w:pPr>
            <w:r>
              <w:rPr/>
            </w:r>
          </w:p>
        </w:tc>
        <w:tc>
          <w:tcPr>
            <w:tcW w:w="6976" w:type="dxa"/>
            <w:vMerge w:val="continue"/>
            <w:tcBorders>
              <w:bottom w:val="single" w:sz="6" w:space="0" w:color="666666"/>
            </w:tcBorders>
            <w:tcMar>
              <w:bottom w:w="295" w:type="dxa"/>
            </w:tcMar>
            <w:vAlign w:val="center"/>
          </w:tcPr>
          <w:p>
            <w:pPr>
              <w:pStyle w:val="Normal"/>
              <w:bidi w:val="0"/>
              <w:jc w:val="left"/>
              <w:rPr/>
            </w:pPr>
            <w:r>
              <w:rPr/>
            </w:r>
          </w:p>
        </w:tc>
        <w:tc>
          <w:tcPr>
            <w:tcW w:w="155" w:type="dxa"/>
            <w:vMerge w:val="continue"/>
            <w:tcBorders>
              <w:bottom w:val="single" w:sz="6" w:space="0" w:color="666666"/>
            </w:tcBorders>
            <w:tcMar>
              <w:bottom w:w="28" w:type="dxa"/>
            </w:tcMar>
            <w:vAlign w:val="center"/>
          </w:tcPr>
          <w:p>
            <w:pPr>
              <w:pStyle w:val="Normal"/>
              <w:bidi w:val="0"/>
              <w:jc w:val="left"/>
              <w:rPr/>
            </w:pPr>
            <w:r>
              <w:rPr/>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18</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2868"/>
        <w:gridCol w:w="109"/>
        <w:gridCol w:w="109"/>
        <w:gridCol w:w="5907"/>
        <w:gridCol w:w="155"/>
      </w:tblGrid>
      <w:tr>
        <w:trPr/>
        <w:tc>
          <w:tcPr>
            <w:tcW w:w="124" w:type="dxa"/>
            <w:tcBorders/>
            <w:vAlign w:val="center"/>
          </w:tcPr>
          <w:p>
            <w:pPr>
              <w:pStyle w:val="TableContents"/>
              <w:bidi w:val="0"/>
              <w:spacing w:before="0" w:after="283"/>
              <w:jc w:val="left"/>
              <w:rPr/>
            </w:pPr>
            <w:r>
              <w:rPr/>
              <w:t>​</w:t>
            </w:r>
          </w:p>
        </w:tc>
        <w:tc>
          <w:tcPr>
            <w:tcW w:w="8993" w:type="dxa"/>
            <w:gridSpan w:val="4"/>
            <w:tcBorders/>
            <w:vAlign w:val="center"/>
          </w:tcPr>
          <w:p>
            <w:pPr>
              <w:pStyle w:val="TableContents"/>
              <w:bidi w:val="0"/>
              <w:spacing w:before="0" w:after="283"/>
              <w:jc w:val="left"/>
              <w:rPr/>
            </w:pPr>
            <w:r>
              <w:rPr/>
              <w:t>DAVID L. MOTLEY</w:t>
            </w:r>
            <w:r>
              <w:rPr>
                <w:color w:val="000000"/>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68" w:type="dxa"/>
            <w:tcBorders/>
            <w:vAlign w:val="center"/>
          </w:tcPr>
          <w:p>
            <w:pPr>
              <w:pStyle w:val="TableContents"/>
              <w:bidi w:val="0"/>
              <w:spacing w:lineRule="atLeast" w:line="310" w:before="0" w:after="0"/>
              <w:jc w:val="left"/>
              <w:rPr>
                <w:rFonts w:ascii="Tahoma;Geneva;sans-serif" w:hAnsi="Tahoma;Geneva;sans-serif"/>
                <w:b/>
                <w:sz w:val="24"/>
              </w:rPr>
            </w:pPr>
            <w:r>
              <w:rPr>
                <w:rFonts w:ascii="Tahoma;Geneva;sans-serif" w:hAnsi="Tahoma;Geneva;sans-serif"/>
                <w:b/>
                <w:sz w:val="24"/>
              </w:rPr>
              <w:t>INDEPENDENT DIRECTOR​</w:t>
            </w:r>
          </w:p>
        </w:tc>
        <w:tc>
          <w:tcPr>
            <w:tcW w:w="109" w:type="dxa"/>
            <w:tcBorders/>
            <w:vAlign w:val="center"/>
          </w:tcPr>
          <w:p>
            <w:pPr>
              <w:pStyle w:val="TableContents"/>
              <w:bidi w:val="0"/>
              <w:spacing w:before="0" w:after="283"/>
              <w:jc w:val="left"/>
              <w:rPr/>
            </w:pPr>
            <w:r>
              <w:rPr/>
              <w:t>​</w:t>
            </w:r>
          </w:p>
        </w:tc>
        <w:tc>
          <w:tcPr>
            <w:tcW w:w="109" w:type="dxa"/>
            <w:vMerge w:val="restart"/>
            <w:tcBorders>
              <w:bottom w:val="single" w:sz="6" w:space="0" w:color="666666"/>
            </w:tcBorders>
            <w:tcMar>
              <w:bottom w:w="28" w:type="dxa"/>
            </w:tcMar>
            <w:vAlign w:val="center"/>
          </w:tcPr>
          <w:p>
            <w:pPr>
              <w:pStyle w:val="TableContents"/>
              <w:bidi w:val="0"/>
              <w:spacing w:before="0" w:after="283"/>
              <w:jc w:val="left"/>
              <w:rPr/>
            </w:pPr>
            <w:r>
              <w:rPr/>
              <w:t>​</w:t>
            </w:r>
          </w:p>
        </w:tc>
        <w:tc>
          <w:tcPr>
            <w:tcW w:w="5907" w:type="dxa"/>
            <w:vMerge w:val="restart"/>
            <w:tcBorders>
              <w:bottom w:val="single" w:sz="6" w:space="0" w:color="666666"/>
            </w:tcBorders>
            <w:tcMar>
              <w:bottom w:w="80" w:type="dxa"/>
            </w:tcMar>
            <w:vAlign w:val="center"/>
          </w:tcPr>
          <w:p>
            <w:pPr>
              <w:pStyle w:val="TableContents"/>
              <w:bidi w:val="0"/>
              <w:spacing w:lineRule="atLeast" w:line="245" w:before="0" w:after="0"/>
              <w:jc w:val="left"/>
              <w:rPr/>
            </w:pPr>
            <w:r>
              <w:rPr>
                <w:spacing w:val="-1"/>
              </w:rPr>
              <w:t>Mr. Motley is a seasoned executive and investor with deep expertise in corporate strategy, early-stage technology, and real estate business development. His extensive board experience across public, private and nonprofit organizations enhances the Board’s oversight of governance, innovation and long-term value creation.</w:t>
            </w:r>
            <w:r>
              <w:rPr/>
              <w:t xml:space="preserve"> </w:t>
            </w:r>
          </w:p>
          <w:p>
            <w:pPr>
              <w:pStyle w:val="TableContents"/>
              <w:bidi w:val="0"/>
              <w:spacing w:lineRule="atLeast" w:line="245" w:before="200" w:after="283"/>
              <w:jc w:val="left"/>
              <w:rPr/>
            </w:pPr>
            <w:r>
              <w:rPr>
                <w:spacing w:val="-1"/>
              </w:rPr>
              <w:t>Mr. Motley serves as General Partner of BTN Ventures, a venture fund investing in pre-seed and seed stage technology companies, since 2021. Mr. Motley also serves as a partner in DDRC 327 NEGL, LLC, a real estate development company, since 2016, and as Chief Executive Officer of MCAPS, LLC, a professional services company providing corporate real estate services, since 2018. Mr. Motley has also served as Senior Managing Partner of Blue Tree Venture Fund since 2012, a venture investing in early-stage life science and IT companies. Mr. Motley held senior engineering, management and global commercial leadership positions with Respironics (now Philips), Covidien Surgical Devices (now Medtronic), and Headwaters SC (now EY).</w:t>
            </w:r>
            <w:r>
              <w:rPr/>
              <w:t xml:space="preserve"> </w:t>
            </w:r>
          </w:p>
          <w:p>
            <w:pPr>
              <w:pStyle w:val="TableContents"/>
              <w:bidi w:val="0"/>
              <w:spacing w:lineRule="atLeast" w:line="245" w:before="200" w:after="283"/>
              <w:jc w:val="left"/>
              <w:rPr/>
            </w:pPr>
            <w:r>
              <w:rPr>
                <w:spacing w:val="-1"/>
              </w:rPr>
              <w:t>Mr. Motley also serves on the boards of F.N.B. Corporation, a diversified financial services company; Koppers Holdings Inc., an integrated global provider of treated wood products, wood treatment chemicals and carbon compounds; and Armada, a privately-owned supply chain management company. Mr. Motley is also board chair for SRI International, an independent nonprofit technology research and development organization.</w:t>
            </w:r>
            <w:r>
              <w:rPr/>
              <w:t xml:space="preserve"> </w:t>
            </w:r>
          </w:p>
          <w:p>
            <w:pPr>
              <w:pStyle w:val="TableContents"/>
              <w:bidi w:val="0"/>
              <w:spacing w:lineRule="atLeast" w:line="245" w:before="200" w:after="283"/>
              <w:jc w:val="left"/>
              <w:rPr>
                <w:spacing w:val="-1"/>
              </w:rPr>
            </w:pPr>
            <w:r>
              <w:rPr>
                <w:spacing w:val="-1"/>
              </w:rPr>
              <w:t xml:space="preserve">Mr. Motley is a Cum Laude graduate of the University of Pittsburgh’s Swanson School of Engineering and a Distinguished Alumni Awardee, a recognition provided to less than one percent of the graduates. Mr. Motley holds an MBA from the Harvard Business School. </w:t>
            </w:r>
          </w:p>
        </w:tc>
        <w:tc>
          <w:tcPr>
            <w:tcW w:w="155" w:type="dxa"/>
            <w:vMerge w:val="restart"/>
            <w:tcBorders>
              <w:bottom w:val="single" w:sz="6" w:space="0" w:color="666666"/>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68" w:type="dxa"/>
            <w:tcBorders/>
            <w:vAlign w:val="center"/>
          </w:tcPr>
          <w:p>
            <w:pPr>
              <w:pStyle w:val="TableContents"/>
              <w:bidi w:val="0"/>
              <w:spacing w:before="0" w:after="0"/>
              <w:jc w:val="left"/>
              <w:rPr/>
            </w:pPr>
            <w:r>
              <w:rPr>
                <w:spacing w:val="-1"/>
              </w:rPr>
              <w:t>Class: Two</w:t>
            </w:r>
            <w:r>
              <w:rPr/>
              <w:t xml:space="preserve"> </w:t>
            </w:r>
          </w:p>
          <w:p>
            <w:pPr>
              <w:pStyle w:val="TableContents"/>
              <w:bidi w:val="0"/>
              <w:spacing w:before="120" w:after="283"/>
              <w:jc w:val="left"/>
              <w:rPr/>
            </w:pPr>
            <w:r>
              <w:rPr>
                <w:spacing w:val="-1"/>
              </w:rPr>
              <w:t>Director Since: 2021</w:t>
            </w:r>
            <w:r>
              <w:rPr/>
              <w:t xml:space="preserve"> </w:t>
            </w:r>
          </w:p>
          <w:p>
            <w:pPr>
              <w:pStyle w:val="TableContents"/>
              <w:bidi w:val="0"/>
              <w:spacing w:before="120" w:after="283"/>
              <w:jc w:val="left"/>
              <w:rPr/>
            </w:pPr>
            <w:r>
              <w:rPr>
                <w:spacing w:val="-1"/>
              </w:rPr>
              <w:t>Term Expires: 2028</w:t>
            </w:r>
            <w:r>
              <w:rPr/>
              <w:t xml:space="preserve"> </w:t>
            </w:r>
          </w:p>
          <w:p>
            <w:pPr>
              <w:pStyle w:val="TableContents"/>
              <w:bidi w:val="0"/>
              <w:spacing w:before="120" w:after="283"/>
              <w:jc w:val="left"/>
              <w:rPr/>
            </w:pPr>
            <w:r>
              <w:rPr>
                <w:spacing w:val="-1"/>
              </w:rPr>
              <w:t>Age: 67</w:t>
            </w:r>
            <w:r>
              <w:rPr/>
              <w:t xml:space="preserve"> </w:t>
            </w:r>
          </w:p>
          <w:p>
            <w:pPr>
              <w:pStyle w:val="TableContents"/>
              <w:bidi w:val="0"/>
              <w:spacing w:before="340" w:after="283"/>
              <w:jc w:val="left"/>
              <w:rPr>
                <w:rFonts w:ascii="Tahoma;Geneva;sans-serif" w:hAnsi="Tahoma;Geneva;sans-serif"/>
                <w:b/>
                <w:sz w:val="24"/>
              </w:rPr>
            </w:pPr>
            <w:r>
              <w:rPr>
                <w:rFonts w:ascii="Tahoma;Geneva;sans-serif" w:hAnsi="Tahoma;Geneva;sans-serif"/>
                <w:b/>
                <w:sz w:val="24"/>
              </w:rPr>
              <w:t>BOARD COMMITTEES</w:t>
            </w:r>
          </w:p>
          <w:p>
            <w:pPr>
              <w:pStyle w:val="TableContents"/>
              <w:bidi w:val="0"/>
              <w:spacing w:before="70" w:after="283"/>
              <w:jc w:val="left"/>
              <w:rPr/>
            </w:pPr>
            <w:r>
              <w:rPr>
                <w:spacing w:val="-1"/>
              </w:rPr>
              <w:t>Audit and Risk</w:t>
            </w:r>
            <w:r>
              <w:rPr/>
              <w:t xml:space="preserve"> </w:t>
            </w:r>
          </w:p>
          <w:p>
            <w:pPr>
              <w:pStyle w:val="TableContents"/>
              <w:bidi w:val="0"/>
              <w:spacing w:before="340" w:after="283"/>
              <w:jc w:val="left"/>
              <w:rPr>
                <w:rFonts w:ascii="Tahoma;Geneva;sans-serif" w:hAnsi="Tahoma;Geneva;sans-serif"/>
                <w:b/>
                <w:sz w:val="24"/>
              </w:rPr>
            </w:pPr>
            <w:r>
              <w:rPr>
                <w:rFonts w:ascii="Tahoma;Geneva;sans-serif" w:hAnsi="Tahoma;Geneva;sans-serif"/>
                <w:b/>
                <w:sz w:val="24"/>
              </w:rPr>
              <w:t>OTHER PUBLIC COMPANY</w:t>
            </w:r>
          </w:p>
          <w:p>
            <w:pPr>
              <w:pStyle w:val="TableContents"/>
              <w:bidi w:val="0"/>
              <w:spacing w:lineRule="atLeast" w:line="175" w:before="20" w:after="283"/>
              <w:jc w:val="left"/>
              <w:rPr>
                <w:rFonts w:ascii="Tahoma;Geneva;sans-serif" w:hAnsi="Tahoma;Geneva;sans-serif"/>
                <w:b/>
                <w:sz w:val="24"/>
              </w:rPr>
            </w:pPr>
            <w:r>
              <w:rPr>
                <w:rFonts w:ascii="Tahoma;Geneva;sans-serif" w:hAnsi="Tahoma;Geneva;sans-serif"/>
                <w:b/>
                <w:sz w:val="24"/>
              </w:rPr>
              <w:t>BOARDS</w:t>
            </w:r>
            <w:r>
              <w:rPr>
                <w:rFonts w:ascii="Tahoma;Geneva;sans-serif" w:hAnsi="Tahoma;Geneva;sans-serif"/>
                <w:b/>
                <w:spacing w:val="-1"/>
                <w:sz w:val="24"/>
              </w:rPr>
              <w:t xml:space="preserve"> </w:t>
            </w:r>
            <w:r>
              <w:rPr>
                <w:rFonts w:ascii="Arial;Helvetica;sans-serif" w:hAnsi="Arial;Helvetica;sans-serif"/>
                <w:b w:val="false"/>
                <w:spacing w:val="-1"/>
                <w:sz w:val="18"/>
              </w:rPr>
              <w:t>(past five years)</w:t>
            </w:r>
          </w:p>
          <w:p>
            <w:pPr>
              <w:pStyle w:val="TableContents"/>
              <w:bidi w:val="0"/>
              <w:spacing w:lineRule="atLeast" w:line="245" w:before="70" w:after="283"/>
              <w:jc w:val="left"/>
              <w:rPr/>
            </w:pPr>
            <w:r>
              <w:rPr>
                <w:spacing w:val="-1"/>
              </w:rPr>
              <w:t xml:space="preserve">Koppers Holdings Inc. </w:t>
              <w:br/>
              <w:t>(since 2018)</w:t>
            </w:r>
            <w:r>
              <w:rPr/>
              <w:t xml:space="preserve"> </w:t>
            </w:r>
          </w:p>
          <w:p>
            <w:pPr>
              <w:pStyle w:val="TableContents"/>
              <w:bidi w:val="0"/>
              <w:spacing w:lineRule="atLeast" w:line="245" w:before="120" w:after="283"/>
              <w:jc w:val="left"/>
              <w:rPr/>
            </w:pPr>
            <w:r>
              <w:rPr>
                <w:spacing w:val="-1"/>
              </w:rPr>
              <w:t xml:space="preserve">F.N.B Corporation </w:t>
              <w:br/>
              <w:t>(since 2013)</w:t>
            </w:r>
            <w:r>
              <w:rPr/>
              <w:t xml:space="preserve"> </w:t>
            </w:r>
          </w:p>
          <w:p>
            <w:pPr>
              <w:pStyle w:val="TableContents"/>
              <w:bidi w:val="0"/>
              <w:spacing w:lineRule="atLeast" w:line="245" w:before="120" w:after="283"/>
              <w:jc w:val="left"/>
              <w:rPr/>
            </w:pPr>
            <w:r>
              <w:rPr>
                <w:spacing w:val="-1"/>
              </w:rPr>
              <w:t xml:space="preserve">Deep Lake Capital </w:t>
              <w:br/>
              <w:t xml:space="preserve">Acquisition Corp. </w:t>
              <w:br/>
              <w:t>(2021-2023)</w:t>
            </w:r>
            <w:r>
              <w:rPr/>
              <w:t xml:space="preserve"> </w:t>
            </w:r>
          </w:p>
        </w:tc>
        <w:tc>
          <w:tcPr>
            <w:tcW w:w="109" w:type="dxa"/>
            <w:tcBorders/>
            <w:vAlign w:val="center"/>
          </w:tcPr>
          <w:p>
            <w:pPr>
              <w:pStyle w:val="TableContents"/>
              <w:bidi w:val="0"/>
              <w:spacing w:before="0" w:after="283"/>
              <w:jc w:val="left"/>
              <w:rPr/>
            </w:pPr>
            <w:r>
              <w:rPr/>
              <w:t>​</w:t>
            </w:r>
          </w:p>
        </w:tc>
        <w:tc>
          <w:tcPr>
            <w:tcW w:w="109" w:type="dxa"/>
            <w:vMerge w:val="continue"/>
            <w:tcBorders>
              <w:bottom w:val="single" w:sz="6" w:space="0" w:color="666666"/>
            </w:tcBorders>
            <w:tcMar>
              <w:bottom w:w="28" w:type="dxa"/>
            </w:tcMar>
            <w:vAlign w:val="center"/>
          </w:tcPr>
          <w:p>
            <w:pPr>
              <w:pStyle w:val="Normal"/>
              <w:bidi w:val="0"/>
              <w:jc w:val="left"/>
              <w:rPr/>
            </w:pPr>
            <w:r>
              <w:rPr/>
            </w:r>
          </w:p>
        </w:tc>
        <w:tc>
          <w:tcPr>
            <w:tcW w:w="5907" w:type="dxa"/>
            <w:vMerge w:val="continue"/>
            <w:tcBorders>
              <w:bottom w:val="single" w:sz="6" w:space="0" w:color="666666"/>
            </w:tcBorders>
            <w:tcMar>
              <w:bottom w:w="80" w:type="dxa"/>
            </w:tcMar>
            <w:vAlign w:val="center"/>
          </w:tcPr>
          <w:p>
            <w:pPr>
              <w:pStyle w:val="Normal"/>
              <w:bidi w:val="0"/>
              <w:jc w:val="left"/>
              <w:rPr/>
            </w:pPr>
            <w:r>
              <w:rPr/>
            </w:r>
          </w:p>
        </w:tc>
        <w:tc>
          <w:tcPr>
            <w:tcW w:w="155" w:type="dxa"/>
            <w:vMerge w:val="continue"/>
            <w:tcBorders>
              <w:bottom w:val="single" w:sz="6" w:space="0" w:color="666666"/>
            </w:tcBorders>
            <w:tcMar>
              <w:bottom w:w="28" w:type="dxa"/>
            </w:tcMar>
            <w:vAlign w:val="center"/>
          </w:tcPr>
          <w:p>
            <w:pPr>
              <w:pStyle w:val="Normal"/>
              <w:bidi w:val="0"/>
              <w:jc w:val="left"/>
              <w:rPr/>
            </w:pPr>
            <w:r>
              <w:rPr/>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19</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1756"/>
        <w:gridCol w:w="109"/>
        <w:gridCol w:w="109"/>
        <w:gridCol w:w="7019"/>
        <w:gridCol w:w="155"/>
      </w:tblGrid>
      <w:tr>
        <w:trPr/>
        <w:tc>
          <w:tcPr>
            <w:tcW w:w="124" w:type="dxa"/>
            <w:tcBorders/>
            <w:vAlign w:val="center"/>
          </w:tcPr>
          <w:p>
            <w:pPr>
              <w:pStyle w:val="TableContents"/>
              <w:bidi w:val="0"/>
              <w:spacing w:before="0" w:after="283"/>
              <w:jc w:val="left"/>
              <w:rPr/>
            </w:pPr>
            <w:r>
              <w:rPr/>
              <w:t>​</w:t>
            </w:r>
          </w:p>
        </w:tc>
        <w:tc>
          <w:tcPr>
            <w:tcW w:w="8993" w:type="dxa"/>
            <w:gridSpan w:val="4"/>
            <w:tcBorders/>
            <w:vAlign w:val="center"/>
          </w:tcPr>
          <w:p>
            <w:pPr>
              <w:pStyle w:val="TableContents"/>
              <w:bidi w:val="0"/>
              <w:spacing w:before="0" w:after="283"/>
              <w:jc w:val="left"/>
              <w:rPr/>
            </w:pPr>
            <w:r>
              <w:rPr/>
              <w:t>LISA NEAL-GRAVES</w:t>
            </w:r>
            <w:r>
              <w:rPr>
                <w:color w:val="000000"/>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56" w:type="dxa"/>
            <w:tcBorders/>
            <w:vAlign w:val="center"/>
          </w:tcPr>
          <w:p>
            <w:pPr>
              <w:pStyle w:val="TableContents"/>
              <w:bidi w:val="0"/>
              <w:spacing w:before="0" w:after="0"/>
              <w:jc w:val="left"/>
              <w:rPr>
                <w:rFonts w:ascii="Tahoma;Geneva;sans-serif" w:hAnsi="Tahoma;Geneva;sans-serif"/>
                <w:b/>
                <w:sz w:val="24"/>
              </w:rPr>
            </w:pPr>
            <w:r>
              <w:rPr>
                <w:rFonts w:ascii="Tahoma;Geneva;sans-serif" w:hAnsi="Tahoma;Geneva;sans-serif"/>
                <w:b/>
                <w:sz w:val="24"/>
              </w:rPr>
              <w:t>INDEPENDENT DIRECTOR​</w:t>
            </w:r>
          </w:p>
        </w:tc>
        <w:tc>
          <w:tcPr>
            <w:tcW w:w="109" w:type="dxa"/>
            <w:tcBorders/>
            <w:vAlign w:val="center"/>
          </w:tcPr>
          <w:p>
            <w:pPr>
              <w:pStyle w:val="TableContents"/>
              <w:bidi w:val="0"/>
              <w:spacing w:before="0" w:after="283"/>
              <w:jc w:val="left"/>
              <w:rPr/>
            </w:pPr>
            <w:r>
              <w:rPr/>
              <w:t>​</w:t>
            </w:r>
          </w:p>
        </w:tc>
        <w:tc>
          <w:tcPr>
            <w:tcW w:w="109" w:type="dxa"/>
            <w:vMerge w:val="restart"/>
            <w:tcBorders>
              <w:bottom w:val="single" w:sz="6" w:space="0" w:color="666666"/>
            </w:tcBorders>
            <w:tcMar>
              <w:bottom w:w="28" w:type="dxa"/>
            </w:tcMar>
            <w:vAlign w:val="center"/>
          </w:tcPr>
          <w:p>
            <w:pPr>
              <w:pStyle w:val="TableContents"/>
              <w:bidi w:val="0"/>
              <w:spacing w:before="0" w:after="283"/>
              <w:jc w:val="left"/>
              <w:rPr/>
            </w:pPr>
            <w:r>
              <w:rPr/>
              <w:t>​</w:t>
            </w:r>
          </w:p>
        </w:tc>
        <w:tc>
          <w:tcPr>
            <w:tcW w:w="7019" w:type="dxa"/>
            <w:vMerge w:val="restart"/>
            <w:tcBorders>
              <w:bottom w:val="single" w:sz="6" w:space="0" w:color="666666"/>
            </w:tcBorders>
            <w:tcMar>
              <w:bottom w:w="295" w:type="dxa"/>
            </w:tcMar>
            <w:vAlign w:val="center"/>
          </w:tcPr>
          <w:p>
            <w:pPr>
              <w:pStyle w:val="TableContents"/>
              <w:bidi w:val="0"/>
              <w:spacing w:lineRule="atLeast" w:line="239" w:before="0" w:after="0"/>
              <w:jc w:val="left"/>
              <w:rPr/>
            </w:pPr>
            <w:r>
              <w:rPr>
                <w:spacing w:val="-1"/>
              </w:rPr>
              <w:t>Ms. Neal-Graves is a proven technology executive with deep expertise in strategic planning, global operations, and product management across the semiconductor, telecommunications, and cloud industries. Her background in data science, technology policy, and global product management, including in China, Italy and the United Kingdom, strengthens the Board’s knowledge and discussions in navigating complex tech-driven transformation.</w:t>
            </w:r>
            <w:r>
              <w:rPr/>
              <w:t xml:space="preserve"> </w:t>
            </w:r>
          </w:p>
          <w:p>
            <w:pPr>
              <w:pStyle w:val="TableContents"/>
              <w:bidi w:val="0"/>
              <w:spacing w:lineRule="atLeast" w:line="239" w:before="140" w:after="283"/>
              <w:jc w:val="left"/>
              <w:rPr/>
            </w:pPr>
            <w:r>
              <w:rPr>
                <w:spacing w:val="-1"/>
              </w:rPr>
              <w:t>Ms. Neal-Graves is the former Chief Executive Officer of the Aurora Wellness Community (“AWC”), a University of Colorado School of Medicine nonprofit entity in partnership with the Aurora, Colorado, community. Ms. Neal-Graves is a data scientist, technology strategist, and technology legal policy and compliance executive who brings extensive experience in the semiconductor and telecommunications industries to our Board. Before her last role, she served as the Chief Innovation Officer for the Colorado Attorney General; General Counsel and Chief Marketing Officer of Universal Plasma, LLC, an early-stage antenna technology company; Vice President and General Manager of the Cloud Strategic Product Group for Zayo Group; and in various roles at Intel Corporation, including CIO Counsel and positions of increasing responsibility and impact for the company’s strategic long-range technology and research planning. Ms. Neal-Graves also held senior executive positions, including VP/GM (Unisys), CTO (Serviceware), Senior VP/GM (Chase), and GM (AT&amp;T/Bell Labs).</w:t>
            </w:r>
            <w:r>
              <w:rPr/>
              <w:t xml:space="preserve"> </w:t>
            </w:r>
          </w:p>
          <w:p>
            <w:pPr>
              <w:pStyle w:val="TableContents"/>
              <w:bidi w:val="0"/>
              <w:spacing w:lineRule="atLeast" w:line="239" w:before="140" w:after="283"/>
              <w:jc w:val="left"/>
              <w:rPr/>
            </w:pPr>
            <w:r>
              <w:rPr>
                <w:spacing w:val="-1"/>
              </w:rPr>
              <w:t>Ms. Neal-Graves serves on the Center for Improving Value in Health Care (“CIVHC”), and Arkansas Legal Aid.</w:t>
            </w:r>
            <w:r>
              <w:rPr/>
              <w:t xml:space="preserve"> </w:t>
            </w:r>
          </w:p>
          <w:p>
            <w:pPr>
              <w:pStyle w:val="TableContents"/>
              <w:bidi w:val="0"/>
              <w:spacing w:lineRule="atLeast" w:line="239" w:before="140" w:after="283"/>
              <w:jc w:val="left"/>
              <w:rPr>
                <w:spacing w:val="-1"/>
              </w:rPr>
            </w:pPr>
            <w:r>
              <w:rPr>
                <w:spacing w:val="-1"/>
              </w:rPr>
              <w:t xml:space="preserve">Ms. Neal-Graves graduated from Hampton University, where she obtained her undergraduate degree in applied mathematics and computer science. She also holds a M.S. in Computer Science from Michigan State University (with an emphasis in Artificial Intelligence), a Master degree in Engineering Management from the University of Colorado Boulder, and a JD from the University of Colorado School of Law. </w:t>
            </w:r>
          </w:p>
        </w:tc>
        <w:tc>
          <w:tcPr>
            <w:tcW w:w="155" w:type="dxa"/>
            <w:vMerge w:val="restart"/>
            <w:tcBorders>
              <w:bottom w:val="single" w:sz="6" w:space="0" w:color="666666"/>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56" w:type="dxa"/>
            <w:tcBorders/>
            <w:vAlign w:val="center"/>
          </w:tcPr>
          <w:p>
            <w:pPr>
              <w:pStyle w:val="TableContents"/>
              <w:bidi w:val="0"/>
              <w:spacing w:before="0" w:after="0"/>
              <w:jc w:val="left"/>
              <w:rPr/>
            </w:pPr>
            <w:r>
              <w:rPr>
                <w:spacing w:val="-1"/>
              </w:rPr>
              <w:t>Class: Two</w:t>
            </w:r>
            <w:r>
              <w:rPr/>
              <w:t xml:space="preserve"> </w:t>
            </w:r>
          </w:p>
          <w:p>
            <w:pPr>
              <w:pStyle w:val="TableContents"/>
              <w:bidi w:val="0"/>
              <w:spacing w:before="120" w:after="283"/>
              <w:jc w:val="left"/>
              <w:rPr/>
            </w:pPr>
            <w:r>
              <w:rPr>
                <w:spacing w:val="-1"/>
              </w:rPr>
              <w:t>Director Since: 2021</w:t>
            </w:r>
            <w:r>
              <w:rPr/>
              <w:t xml:space="preserve"> </w:t>
            </w:r>
          </w:p>
          <w:p>
            <w:pPr>
              <w:pStyle w:val="TableContents"/>
              <w:bidi w:val="0"/>
              <w:spacing w:before="120" w:after="283"/>
              <w:jc w:val="left"/>
              <w:rPr/>
            </w:pPr>
            <w:r>
              <w:rPr>
                <w:spacing w:val="-1"/>
              </w:rPr>
              <w:t>Term Expires: 2028</w:t>
            </w:r>
            <w:r>
              <w:rPr/>
              <w:t xml:space="preserve"> </w:t>
            </w:r>
          </w:p>
          <w:p>
            <w:pPr>
              <w:pStyle w:val="TableContents"/>
              <w:bidi w:val="0"/>
              <w:spacing w:before="120" w:after="283"/>
              <w:jc w:val="left"/>
              <w:rPr/>
            </w:pPr>
            <w:r>
              <w:rPr>
                <w:spacing w:val="-1"/>
              </w:rPr>
              <w:t>Age: 63</w:t>
            </w:r>
            <w:r>
              <w:rPr/>
              <w:t xml:space="preserve"> </w:t>
            </w:r>
          </w:p>
          <w:p>
            <w:pPr>
              <w:pStyle w:val="TableContents"/>
              <w:bidi w:val="0"/>
              <w:spacing w:before="340" w:after="283"/>
              <w:jc w:val="left"/>
              <w:rPr>
                <w:rFonts w:ascii="Tahoma;Geneva;sans-serif" w:hAnsi="Tahoma;Geneva;sans-serif"/>
                <w:b/>
                <w:sz w:val="24"/>
              </w:rPr>
            </w:pPr>
            <w:r>
              <w:rPr>
                <w:rFonts w:ascii="Tahoma;Geneva;sans-serif" w:hAnsi="Tahoma;Geneva;sans-serif"/>
                <w:b/>
                <w:sz w:val="24"/>
              </w:rPr>
              <w:t>BOARD COMMITTEES</w:t>
            </w:r>
          </w:p>
          <w:p>
            <w:pPr>
              <w:pStyle w:val="TableContents"/>
              <w:bidi w:val="0"/>
              <w:spacing w:lineRule="atLeast" w:line="239" w:before="64" w:after="283"/>
              <w:jc w:val="left"/>
              <w:rPr/>
            </w:pPr>
            <w:r>
              <w:rPr>
                <w:spacing w:val="-1"/>
              </w:rPr>
              <w:t xml:space="preserve">Nominating and </w:t>
              <w:br/>
              <w:t>Corporate Governance</w:t>
            </w:r>
            <w:r>
              <w:rPr/>
              <w:t xml:space="preserve"> </w:t>
            </w:r>
          </w:p>
          <w:p>
            <w:pPr>
              <w:pStyle w:val="TableContents"/>
              <w:bidi w:val="0"/>
              <w:spacing w:before="340" w:after="283"/>
              <w:jc w:val="left"/>
              <w:rPr>
                <w:rFonts w:ascii="Tahoma;Geneva;sans-serif" w:hAnsi="Tahoma;Geneva;sans-serif"/>
                <w:b/>
                <w:sz w:val="24"/>
              </w:rPr>
            </w:pPr>
            <w:r>
              <w:rPr>
                <w:rFonts w:ascii="Tahoma;Geneva;sans-serif" w:hAnsi="Tahoma;Geneva;sans-serif"/>
                <w:b/>
                <w:sz w:val="24"/>
              </w:rPr>
              <w:t>OTHER PUBLIC COMPANY</w:t>
            </w:r>
          </w:p>
          <w:p>
            <w:pPr>
              <w:pStyle w:val="TableContents"/>
              <w:bidi w:val="0"/>
              <w:spacing w:lineRule="atLeast" w:line="175" w:before="20" w:after="283"/>
              <w:jc w:val="left"/>
              <w:rPr>
                <w:rFonts w:ascii="Tahoma;Geneva;sans-serif" w:hAnsi="Tahoma;Geneva;sans-serif"/>
                <w:b/>
                <w:sz w:val="24"/>
              </w:rPr>
            </w:pPr>
            <w:r>
              <w:rPr>
                <w:rFonts w:ascii="Tahoma;Geneva;sans-serif" w:hAnsi="Tahoma;Geneva;sans-serif"/>
                <w:b/>
                <w:sz w:val="24"/>
              </w:rPr>
              <w:t>BOARDS</w:t>
            </w:r>
            <w:r>
              <w:rPr>
                <w:rFonts w:ascii="Tahoma;Geneva;sans-serif" w:hAnsi="Tahoma;Geneva;sans-serif"/>
                <w:b/>
                <w:spacing w:val="-1"/>
                <w:sz w:val="24"/>
              </w:rPr>
              <w:t xml:space="preserve"> </w:t>
            </w:r>
            <w:r>
              <w:rPr>
                <w:rFonts w:ascii="Arial;Helvetica;sans-serif" w:hAnsi="Arial;Helvetica;sans-serif"/>
                <w:b w:val="false"/>
                <w:spacing w:val="-1"/>
                <w:sz w:val="18"/>
              </w:rPr>
              <w:t>(past five years)</w:t>
            </w:r>
          </w:p>
          <w:p>
            <w:pPr>
              <w:pStyle w:val="TableContents"/>
              <w:bidi w:val="0"/>
              <w:spacing w:before="64" w:after="283"/>
              <w:jc w:val="left"/>
              <w:rPr/>
            </w:pPr>
            <w:r>
              <w:rPr>
                <w:spacing w:val="-1"/>
              </w:rPr>
              <w:t>None</w:t>
            </w:r>
            <w:r>
              <w:rPr/>
              <w:t xml:space="preserve"> </w:t>
            </w:r>
          </w:p>
        </w:tc>
        <w:tc>
          <w:tcPr>
            <w:tcW w:w="109" w:type="dxa"/>
            <w:tcBorders/>
            <w:vAlign w:val="center"/>
          </w:tcPr>
          <w:p>
            <w:pPr>
              <w:pStyle w:val="TableContents"/>
              <w:bidi w:val="0"/>
              <w:spacing w:before="0" w:after="283"/>
              <w:jc w:val="left"/>
              <w:rPr/>
            </w:pPr>
            <w:r>
              <w:rPr/>
              <w:t>​</w:t>
            </w:r>
          </w:p>
        </w:tc>
        <w:tc>
          <w:tcPr>
            <w:tcW w:w="109" w:type="dxa"/>
            <w:vMerge w:val="continue"/>
            <w:tcBorders>
              <w:bottom w:val="single" w:sz="6" w:space="0" w:color="666666"/>
            </w:tcBorders>
            <w:tcMar>
              <w:bottom w:w="28" w:type="dxa"/>
            </w:tcMar>
            <w:vAlign w:val="center"/>
          </w:tcPr>
          <w:p>
            <w:pPr>
              <w:pStyle w:val="Normal"/>
              <w:bidi w:val="0"/>
              <w:jc w:val="left"/>
              <w:rPr/>
            </w:pPr>
            <w:r>
              <w:rPr/>
            </w:r>
          </w:p>
        </w:tc>
        <w:tc>
          <w:tcPr>
            <w:tcW w:w="7019" w:type="dxa"/>
            <w:vMerge w:val="continue"/>
            <w:tcBorders>
              <w:bottom w:val="single" w:sz="6" w:space="0" w:color="666666"/>
            </w:tcBorders>
            <w:tcMar>
              <w:bottom w:w="295" w:type="dxa"/>
            </w:tcMar>
            <w:vAlign w:val="center"/>
          </w:tcPr>
          <w:p>
            <w:pPr>
              <w:pStyle w:val="Normal"/>
              <w:bidi w:val="0"/>
              <w:jc w:val="left"/>
              <w:rPr/>
            </w:pPr>
            <w:r>
              <w:rPr/>
            </w:r>
          </w:p>
        </w:tc>
        <w:tc>
          <w:tcPr>
            <w:tcW w:w="155" w:type="dxa"/>
            <w:vMerge w:val="continue"/>
            <w:tcBorders>
              <w:bottom w:val="single" w:sz="6" w:space="0" w:color="666666"/>
            </w:tcBorders>
            <w:tcMar>
              <w:bottom w:w="28" w:type="dxa"/>
            </w:tcMar>
            <w:vAlign w:val="center"/>
          </w:tcPr>
          <w:p>
            <w:pPr>
              <w:pStyle w:val="Normal"/>
              <w:bidi w:val="0"/>
              <w:jc w:val="left"/>
              <w:rPr/>
            </w:pPr>
            <w:r>
              <w:rPr/>
            </w:r>
          </w:p>
        </w:tc>
      </w:tr>
    </w:tbl>
    <w:tbl>
      <w:tblPr>
        <w:tblW w:w="9272" w:type="dxa"/>
        <w:jc w:val="left"/>
        <w:tblInd w:w="893" w:type="dxa"/>
        <w:tblLayout w:type="fixed"/>
        <w:tblCellMar>
          <w:top w:w="0" w:type="dxa"/>
          <w:left w:w="0" w:type="dxa"/>
          <w:bottom w:w="0" w:type="dxa"/>
          <w:right w:w="0" w:type="dxa"/>
        </w:tblCellMar>
      </w:tblPr>
      <w:tblGrid>
        <w:gridCol w:w="124"/>
        <w:gridCol w:w="1818"/>
        <w:gridCol w:w="109"/>
        <w:gridCol w:w="109"/>
        <w:gridCol w:w="6957"/>
        <w:gridCol w:w="155"/>
      </w:tblGrid>
      <w:tr>
        <w:trPr/>
        <w:tc>
          <w:tcPr>
            <w:tcW w:w="124" w:type="dxa"/>
            <w:tcBorders/>
            <w:vAlign w:val="center"/>
          </w:tcPr>
          <w:p>
            <w:pPr>
              <w:pStyle w:val="TableContents"/>
              <w:bidi w:val="0"/>
              <w:spacing w:before="0" w:after="283"/>
              <w:jc w:val="left"/>
              <w:rPr/>
            </w:pPr>
            <w:r>
              <w:rPr/>
              <w:t>​</w:t>
            </w:r>
          </w:p>
        </w:tc>
        <w:tc>
          <w:tcPr>
            <w:tcW w:w="8993" w:type="dxa"/>
            <w:gridSpan w:val="4"/>
            <w:tcBorders/>
            <w:vAlign w:val="center"/>
          </w:tcPr>
          <w:p>
            <w:pPr>
              <w:pStyle w:val="TableContents"/>
              <w:bidi w:val="0"/>
              <w:spacing w:before="0" w:after="283"/>
              <w:jc w:val="left"/>
              <w:rPr/>
            </w:pPr>
            <w:r>
              <w:rPr/>
              <w:t>SHAKER SADASIVAM</w:t>
            </w:r>
            <w:r>
              <w:rPr>
                <w:color w:val="000000"/>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818" w:type="dxa"/>
            <w:tcBorders/>
            <w:vAlign w:val="center"/>
          </w:tcPr>
          <w:p>
            <w:pPr>
              <w:pStyle w:val="TableContents"/>
              <w:bidi w:val="0"/>
              <w:spacing w:before="0" w:after="0"/>
              <w:jc w:val="left"/>
              <w:rPr>
                <w:rFonts w:ascii="Tahoma;Geneva;sans-serif" w:hAnsi="Tahoma;Geneva;sans-serif"/>
                <w:b/>
                <w:sz w:val="24"/>
              </w:rPr>
            </w:pPr>
            <w:r>
              <w:rPr>
                <w:rFonts w:ascii="Tahoma;Geneva;sans-serif" w:hAnsi="Tahoma;Geneva;sans-serif"/>
                <w:b/>
                <w:sz w:val="24"/>
              </w:rPr>
              <w:t>INDEPENDENT DIRECTOR​</w:t>
            </w:r>
          </w:p>
        </w:tc>
        <w:tc>
          <w:tcPr>
            <w:tcW w:w="109" w:type="dxa"/>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6957" w:type="dxa"/>
            <w:vMerge w:val="restart"/>
            <w:tcBorders/>
            <w:vAlign w:val="center"/>
          </w:tcPr>
          <w:p>
            <w:pPr>
              <w:pStyle w:val="TableContents"/>
              <w:bidi w:val="0"/>
              <w:spacing w:lineRule="atLeast" w:line="239" w:before="0" w:after="0"/>
              <w:jc w:val="left"/>
              <w:rPr/>
            </w:pPr>
            <w:r>
              <w:rPr>
                <w:spacing w:val="-1"/>
              </w:rPr>
              <w:t>Dr. Sadasivam is a veteran semiconductor industry leader with extensive experience related to the semiconductor industry, and insight into areas including operations, product development, and engineering management. His experience as a CEO, R&amp;D executive and board member across both public and private companies enhances the Board’s strategic insight into technology innovation and global manufacturing.</w:t>
            </w:r>
            <w:r>
              <w:rPr/>
              <w:t xml:space="preserve"> </w:t>
            </w:r>
          </w:p>
          <w:p>
            <w:pPr>
              <w:pStyle w:val="TableContents"/>
              <w:bidi w:val="0"/>
              <w:spacing w:lineRule="atLeast" w:line="239" w:before="140" w:after="283"/>
              <w:jc w:val="left"/>
              <w:rPr/>
            </w:pPr>
            <w:r>
              <w:rPr>
                <w:spacing w:val="-1"/>
              </w:rPr>
              <w:t>Dr. Sadasivam is the Co-Founder, President and Chief Executive Officer of Brightest Bio. He also serves as Chair of the Board FTC Solar, Inc., a public company, and serves on the boards of two private companies, Sfara a developer of mobile-based safety and detection technology, and Sea Pharmaceuticals, LLC a neurotherapeutics R&amp;D company advancing potential treatments for tinnitus &amp; epilepsy.</w:t>
            </w:r>
            <w:r>
              <w:rPr/>
              <w:t xml:space="preserve"> </w:t>
            </w:r>
          </w:p>
          <w:p>
            <w:pPr>
              <w:pStyle w:val="TableContents"/>
              <w:bidi w:val="0"/>
              <w:spacing w:lineRule="atLeast" w:line="239" w:before="140" w:after="283"/>
              <w:jc w:val="left"/>
              <w:rPr/>
            </w:pPr>
            <w:r>
              <w:rPr>
                <w:spacing w:val="-1"/>
              </w:rPr>
              <w:t>In 2016, Dr. Sadasivam retired as President and Chief Executive Officer of SunEdison Semiconductor Limited, a leading manufacturer of advanced semiconductors for electronics, a position he held from 2013. From 2009 to 2013, he served as Executive Vice President and President, Semiconductor Materials Business Unit of SunEdison, Inc. (a predecessor to SunEdison Semiconductor Limited, formerly known as MEMC Electronic Materials, Inc.). From 2002 to 2009, Dr. Sadasivam served as Senior Vice President Research and Development of SunEdison, Inc.</w:t>
            </w:r>
            <w:r>
              <w:rPr/>
              <w:t xml:space="preserve"> </w:t>
            </w:r>
          </w:p>
          <w:p>
            <w:pPr>
              <w:pStyle w:val="TableContents"/>
              <w:bidi w:val="0"/>
              <w:spacing w:lineRule="atLeast" w:line="239" w:before="140" w:after="283"/>
              <w:jc w:val="left"/>
              <w:rPr>
                <w:spacing w:val="-1"/>
              </w:rPr>
            </w:pPr>
            <w:r>
              <w:rPr>
                <w:spacing w:val="-1"/>
              </w:rPr>
              <w:t xml:space="preserve">Dr. Sadasivam holds B.S. and M.S. degrees in Chemical Engineering from the University of Madras and Indian Institute of Technology, an MBA from Washington University’s Olin School of Business, and a Ph.D. in Chemical Engineering from Clarkson University. </w:t>
            </w:r>
          </w:p>
        </w:tc>
        <w:tc>
          <w:tcPr>
            <w:tcW w:w="155" w:type="dxa"/>
            <w:vMerge w:val="restart"/>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818" w:type="dxa"/>
            <w:tcBorders/>
            <w:vAlign w:val="center"/>
          </w:tcPr>
          <w:p>
            <w:pPr>
              <w:pStyle w:val="TableContents"/>
              <w:bidi w:val="0"/>
              <w:spacing w:before="0" w:after="0"/>
              <w:jc w:val="left"/>
              <w:rPr/>
            </w:pPr>
            <w:r>
              <w:rPr>
                <w:spacing w:val="-1"/>
              </w:rPr>
              <w:t>Class: Two</w:t>
            </w:r>
            <w:r>
              <w:rPr/>
              <w:t xml:space="preserve"> </w:t>
            </w:r>
          </w:p>
          <w:p>
            <w:pPr>
              <w:pStyle w:val="TableContents"/>
              <w:bidi w:val="0"/>
              <w:spacing w:before="120" w:after="283"/>
              <w:jc w:val="left"/>
              <w:rPr/>
            </w:pPr>
            <w:r>
              <w:rPr>
                <w:spacing w:val="-1"/>
              </w:rPr>
              <w:t>Director Since: 2016</w:t>
            </w:r>
            <w:r>
              <w:rPr/>
              <w:t xml:space="preserve"> </w:t>
            </w:r>
          </w:p>
          <w:p>
            <w:pPr>
              <w:pStyle w:val="TableContents"/>
              <w:bidi w:val="0"/>
              <w:spacing w:before="120" w:after="283"/>
              <w:jc w:val="left"/>
              <w:rPr/>
            </w:pPr>
            <w:r>
              <w:rPr>
                <w:spacing w:val="-1"/>
              </w:rPr>
              <w:t>Term Expires: 2028</w:t>
            </w:r>
            <w:r>
              <w:rPr/>
              <w:t xml:space="preserve"> </w:t>
            </w:r>
          </w:p>
          <w:p>
            <w:pPr>
              <w:pStyle w:val="TableContents"/>
              <w:bidi w:val="0"/>
              <w:spacing w:before="120" w:after="283"/>
              <w:jc w:val="left"/>
              <w:rPr/>
            </w:pPr>
            <w:r>
              <w:rPr>
                <w:spacing w:val="-1"/>
              </w:rPr>
              <w:t>Age: 66</w:t>
            </w:r>
            <w:r>
              <w:rPr/>
              <w:t xml:space="preserve"> </w:t>
            </w:r>
          </w:p>
          <w:p>
            <w:pPr>
              <w:pStyle w:val="TableContents"/>
              <w:bidi w:val="0"/>
              <w:spacing w:before="340" w:after="283"/>
              <w:jc w:val="left"/>
              <w:rPr>
                <w:rFonts w:ascii="Tahoma;Geneva;sans-serif" w:hAnsi="Tahoma;Geneva;sans-serif"/>
                <w:b/>
                <w:sz w:val="24"/>
              </w:rPr>
            </w:pPr>
            <w:r>
              <w:rPr>
                <w:rFonts w:ascii="Tahoma;Geneva;sans-serif" w:hAnsi="Tahoma;Geneva;sans-serif"/>
                <w:b/>
                <w:sz w:val="24"/>
              </w:rPr>
              <w:t>BOARD COMMITTEES</w:t>
            </w:r>
          </w:p>
          <w:p>
            <w:pPr>
              <w:pStyle w:val="TableContents"/>
              <w:bidi w:val="0"/>
              <w:spacing w:before="64" w:after="283"/>
              <w:jc w:val="left"/>
              <w:rPr/>
            </w:pPr>
            <w:r>
              <w:rPr>
                <w:spacing w:val="-1"/>
              </w:rPr>
              <w:t>Audit and Risk</w:t>
            </w:r>
            <w:r>
              <w:rPr/>
              <w:t xml:space="preserve"> </w:t>
            </w:r>
          </w:p>
          <w:p>
            <w:pPr>
              <w:pStyle w:val="TableContents"/>
              <w:bidi w:val="0"/>
              <w:spacing w:before="340" w:after="283"/>
              <w:jc w:val="left"/>
              <w:rPr>
                <w:rFonts w:ascii="Tahoma;Geneva;sans-serif" w:hAnsi="Tahoma;Geneva;sans-serif"/>
                <w:b/>
                <w:sz w:val="24"/>
              </w:rPr>
            </w:pPr>
            <w:r>
              <w:rPr>
                <w:rFonts w:ascii="Tahoma;Geneva;sans-serif" w:hAnsi="Tahoma;Geneva;sans-serif"/>
                <w:b/>
                <w:sz w:val="24"/>
              </w:rPr>
              <w:t>OTHER PUBLIC COMPANY</w:t>
            </w:r>
          </w:p>
          <w:p>
            <w:pPr>
              <w:pStyle w:val="TableContents"/>
              <w:bidi w:val="0"/>
              <w:spacing w:lineRule="atLeast" w:line="175" w:before="20" w:after="283"/>
              <w:jc w:val="left"/>
              <w:rPr>
                <w:rFonts w:ascii="Tahoma;Geneva;sans-serif" w:hAnsi="Tahoma;Geneva;sans-serif"/>
                <w:b/>
                <w:sz w:val="24"/>
              </w:rPr>
            </w:pPr>
            <w:r>
              <w:rPr>
                <w:rFonts w:ascii="Tahoma;Geneva;sans-serif" w:hAnsi="Tahoma;Geneva;sans-serif"/>
                <w:b/>
                <w:sz w:val="24"/>
              </w:rPr>
              <w:t>BOARDS</w:t>
            </w:r>
            <w:r>
              <w:rPr>
                <w:rFonts w:ascii="Tahoma;Geneva;sans-serif" w:hAnsi="Tahoma;Geneva;sans-serif"/>
                <w:b/>
                <w:spacing w:val="-1"/>
                <w:sz w:val="24"/>
              </w:rPr>
              <w:t xml:space="preserve"> </w:t>
            </w:r>
            <w:r>
              <w:rPr>
                <w:rFonts w:ascii="Arial;Helvetica;sans-serif" w:hAnsi="Arial;Helvetica;sans-serif"/>
                <w:b w:val="false"/>
                <w:spacing w:val="-1"/>
                <w:sz w:val="18"/>
              </w:rPr>
              <w:t>(past five years)</w:t>
            </w:r>
          </w:p>
          <w:p>
            <w:pPr>
              <w:pStyle w:val="TableContents"/>
              <w:bidi w:val="0"/>
              <w:spacing w:before="64" w:after="283"/>
              <w:jc w:val="left"/>
              <w:rPr/>
            </w:pPr>
            <w:r>
              <w:rPr>
                <w:spacing w:val="-1"/>
              </w:rPr>
              <w:t>FTC Solar, Inc. (since 2017)</w:t>
            </w:r>
            <w:r>
              <w:rPr/>
              <w:t xml:space="preserve"> </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6957"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20</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1884"/>
        <w:gridCol w:w="109"/>
        <w:gridCol w:w="109"/>
        <w:gridCol w:w="6891"/>
        <w:gridCol w:w="155"/>
      </w:tblGrid>
      <w:tr>
        <w:trPr/>
        <w:tc>
          <w:tcPr>
            <w:tcW w:w="124" w:type="dxa"/>
            <w:tcBorders/>
            <w:vAlign w:val="center"/>
          </w:tcPr>
          <w:p>
            <w:pPr>
              <w:pStyle w:val="TableContents"/>
              <w:bidi w:val="0"/>
              <w:spacing w:before="0" w:after="283"/>
              <w:jc w:val="left"/>
              <w:rPr/>
            </w:pPr>
            <w:r>
              <w:rPr/>
              <w:t>​</w:t>
            </w:r>
          </w:p>
        </w:tc>
        <w:tc>
          <w:tcPr>
            <w:tcW w:w="8993" w:type="dxa"/>
            <w:gridSpan w:val="4"/>
            <w:tcBorders/>
            <w:vAlign w:val="center"/>
          </w:tcPr>
          <w:p>
            <w:pPr>
              <w:pStyle w:val="TableContents"/>
              <w:bidi w:val="0"/>
              <w:spacing w:before="0" w:after="283"/>
              <w:jc w:val="left"/>
              <w:rPr/>
            </w:pPr>
            <w:r>
              <w:rPr/>
              <w:t>MICHELLE STERLING</w:t>
            </w:r>
            <w:r>
              <w:rPr>
                <w:color w:val="000000"/>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884" w:type="dxa"/>
            <w:tcBorders/>
            <w:vAlign w:val="center"/>
          </w:tcPr>
          <w:p>
            <w:pPr>
              <w:pStyle w:val="TableContents"/>
              <w:bidi w:val="0"/>
              <w:spacing w:lineRule="atLeast" w:line="310" w:before="0" w:after="0"/>
              <w:jc w:val="left"/>
              <w:rPr>
                <w:rFonts w:ascii="Tahoma;Geneva;sans-serif" w:hAnsi="Tahoma;Geneva;sans-serif"/>
                <w:b/>
                <w:sz w:val="24"/>
              </w:rPr>
            </w:pPr>
            <w:r>
              <w:rPr>
                <w:rFonts w:ascii="Tahoma;Geneva;sans-serif" w:hAnsi="Tahoma;Geneva;sans-serif"/>
                <w:b/>
                <w:sz w:val="24"/>
              </w:rPr>
              <w:t>INDEPENDENT DIRECTOR​</w:t>
            </w:r>
          </w:p>
        </w:tc>
        <w:tc>
          <w:tcPr>
            <w:tcW w:w="109" w:type="dxa"/>
            <w:tcBorders/>
            <w:vAlign w:val="center"/>
          </w:tcPr>
          <w:p>
            <w:pPr>
              <w:pStyle w:val="TableContents"/>
              <w:bidi w:val="0"/>
              <w:spacing w:before="0" w:after="283"/>
              <w:jc w:val="left"/>
              <w:rPr/>
            </w:pPr>
            <w:r>
              <w:rPr/>
              <w:t>​</w:t>
            </w:r>
          </w:p>
        </w:tc>
        <w:tc>
          <w:tcPr>
            <w:tcW w:w="109" w:type="dxa"/>
            <w:vMerge w:val="restart"/>
            <w:tcBorders>
              <w:bottom w:val="single" w:sz="6" w:space="0" w:color="666666"/>
            </w:tcBorders>
            <w:tcMar>
              <w:bottom w:w="28" w:type="dxa"/>
            </w:tcMar>
            <w:vAlign w:val="center"/>
          </w:tcPr>
          <w:p>
            <w:pPr>
              <w:pStyle w:val="TableContents"/>
              <w:bidi w:val="0"/>
              <w:spacing w:before="0" w:after="283"/>
              <w:jc w:val="left"/>
              <w:rPr/>
            </w:pPr>
            <w:r>
              <w:rPr/>
              <w:t>​</w:t>
            </w:r>
          </w:p>
        </w:tc>
        <w:tc>
          <w:tcPr>
            <w:tcW w:w="6891" w:type="dxa"/>
            <w:vMerge w:val="restart"/>
            <w:tcBorders>
              <w:bottom w:val="single" w:sz="6" w:space="0" w:color="666666"/>
            </w:tcBorders>
            <w:tcMar>
              <w:bottom w:w="80" w:type="dxa"/>
            </w:tcMar>
            <w:vAlign w:val="center"/>
          </w:tcPr>
          <w:p>
            <w:pPr>
              <w:pStyle w:val="TableContents"/>
              <w:bidi w:val="0"/>
              <w:spacing w:lineRule="atLeast" w:line="245" w:before="0" w:after="0"/>
              <w:jc w:val="left"/>
              <w:rPr/>
            </w:pPr>
            <w:r>
              <w:rPr>
                <w:spacing w:val="-1"/>
              </w:rPr>
              <w:t>Ms. Sterling is an established business leader with experience overseeing global human capital strategies, and organizational transformations. Her particular expertise in M&amp;A integration in high-tech and semiconductor sectors, enhances the Board’s deliberations related to talent strategy, culture development, and long-term growth initiatives.</w:t>
            </w:r>
            <w:r>
              <w:rPr/>
              <w:t xml:space="preserve"> </w:t>
            </w:r>
          </w:p>
          <w:p>
            <w:pPr>
              <w:pStyle w:val="TableContents"/>
              <w:bidi w:val="0"/>
              <w:spacing w:lineRule="atLeast" w:line="245" w:before="200" w:after="283"/>
              <w:jc w:val="left"/>
              <w:rPr/>
            </w:pPr>
            <w:r>
              <w:rPr>
                <w:spacing w:val="-1"/>
              </w:rPr>
              <w:t>Ms. Sterling was the Executive Vice President and Chief Human Resources Officer at Qualcomm, Inc., a semiconductor, software and services company serving the wireless communications industry, from 2015 to 2020; Senior Vice President, Human Resources from 2007 to 2015 and served in various capacities at Qualcomm, Inc. from 1994 to 2007. Throughout her tenure with Qualcomm, Ms. Sterling supported Qualcomm’s strategies in complex transactions including acquisitions, joint ventures, and divestitures, integration, human capital management, and real estate and facilities. Ms. Sterling had direct responsibility for Qualcomm’s Human Resources global employees and served as a member of Qualcomm’s executive committee.</w:t>
            </w:r>
            <w:r>
              <w:rPr/>
              <w:t xml:space="preserve"> </w:t>
            </w:r>
          </w:p>
          <w:p>
            <w:pPr>
              <w:pStyle w:val="TableContents"/>
              <w:bidi w:val="0"/>
              <w:spacing w:lineRule="atLeast" w:line="245" w:before="200" w:after="283"/>
              <w:jc w:val="left"/>
              <w:rPr/>
            </w:pPr>
            <w:r>
              <w:rPr>
                <w:spacing w:val="-1"/>
              </w:rPr>
              <w:t>Ms. Sterling has served as director for Digital Turbine, Inc., a mobile growth platform for advertisers, publishers, carriers, and device original equipment manufacturers, since 2019, and previously served as a director of TuSimple, an autonomous technology company specifically designed for semi-trucks, from 2021 to 2022.</w:t>
            </w:r>
            <w:r>
              <w:rPr/>
              <w:t xml:space="preserve"> </w:t>
            </w:r>
          </w:p>
          <w:p>
            <w:pPr>
              <w:pStyle w:val="TableContents"/>
              <w:bidi w:val="0"/>
              <w:spacing w:lineRule="atLeast" w:line="245" w:before="200" w:after="283"/>
              <w:jc w:val="left"/>
              <w:rPr>
                <w:spacing w:val="-1"/>
              </w:rPr>
            </w:pPr>
            <w:r>
              <w:rPr>
                <w:spacing w:val="-1"/>
              </w:rPr>
              <w:t xml:space="preserve">Ms. Sterling holds a B.S. in Business Management from the University of Redlands. </w:t>
            </w:r>
          </w:p>
        </w:tc>
        <w:tc>
          <w:tcPr>
            <w:tcW w:w="155" w:type="dxa"/>
            <w:vMerge w:val="restart"/>
            <w:tcBorders>
              <w:bottom w:val="single" w:sz="6" w:space="0" w:color="666666"/>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884" w:type="dxa"/>
            <w:tcBorders/>
            <w:vAlign w:val="center"/>
          </w:tcPr>
          <w:p>
            <w:pPr>
              <w:pStyle w:val="TableContents"/>
              <w:bidi w:val="0"/>
              <w:spacing w:before="0" w:after="0"/>
              <w:jc w:val="left"/>
              <w:rPr/>
            </w:pPr>
            <w:r>
              <w:rPr>
                <w:spacing w:val="-1"/>
              </w:rPr>
              <w:t>Class: Two</w:t>
            </w:r>
            <w:r>
              <w:rPr/>
              <w:t xml:space="preserve"> </w:t>
            </w:r>
          </w:p>
          <w:p>
            <w:pPr>
              <w:pStyle w:val="TableContents"/>
              <w:bidi w:val="0"/>
              <w:spacing w:before="120" w:after="283"/>
              <w:jc w:val="left"/>
              <w:rPr/>
            </w:pPr>
            <w:r>
              <w:rPr>
                <w:spacing w:val="-1"/>
              </w:rPr>
              <w:t>Director Since: 2023</w:t>
            </w:r>
            <w:r>
              <w:rPr/>
              <w:t xml:space="preserve"> </w:t>
            </w:r>
          </w:p>
          <w:p>
            <w:pPr>
              <w:pStyle w:val="TableContents"/>
              <w:bidi w:val="0"/>
              <w:spacing w:before="120" w:after="283"/>
              <w:jc w:val="left"/>
              <w:rPr/>
            </w:pPr>
            <w:r>
              <w:rPr>
                <w:spacing w:val="-1"/>
              </w:rPr>
              <w:t>Term Expires: 2028</w:t>
            </w:r>
            <w:r>
              <w:rPr/>
              <w:t xml:space="preserve"> </w:t>
            </w:r>
          </w:p>
          <w:p>
            <w:pPr>
              <w:pStyle w:val="TableContents"/>
              <w:bidi w:val="0"/>
              <w:spacing w:before="120" w:after="283"/>
              <w:jc w:val="left"/>
              <w:rPr/>
            </w:pPr>
            <w:r>
              <w:rPr>
                <w:spacing w:val="-1"/>
              </w:rPr>
              <w:t>Age: 59</w:t>
            </w:r>
            <w:r>
              <w:rPr/>
              <w:t xml:space="preserve"> </w:t>
            </w:r>
          </w:p>
          <w:p>
            <w:pPr>
              <w:pStyle w:val="TableContents"/>
              <w:bidi w:val="0"/>
              <w:spacing w:before="340" w:after="283"/>
              <w:jc w:val="left"/>
              <w:rPr>
                <w:rFonts w:ascii="Tahoma;Geneva;sans-serif" w:hAnsi="Tahoma;Geneva;sans-serif"/>
                <w:b/>
                <w:sz w:val="24"/>
              </w:rPr>
            </w:pPr>
            <w:r>
              <w:rPr>
                <w:rFonts w:ascii="Tahoma;Geneva;sans-serif" w:hAnsi="Tahoma;Geneva;sans-serif"/>
                <w:b/>
                <w:sz w:val="24"/>
              </w:rPr>
              <w:t>BOARD COMMITTEES</w:t>
            </w:r>
          </w:p>
          <w:p>
            <w:pPr>
              <w:pStyle w:val="TableContents"/>
              <w:bidi w:val="0"/>
              <w:spacing w:lineRule="atLeast" w:line="245" w:before="70" w:after="283"/>
              <w:jc w:val="left"/>
              <w:rPr/>
            </w:pPr>
            <w:r>
              <w:rPr>
                <w:spacing w:val="-1"/>
              </w:rPr>
              <w:t>Compensation and Human Capital (Chair)</w:t>
            </w:r>
            <w:r>
              <w:rPr/>
              <w:t xml:space="preserve"> </w:t>
            </w:r>
          </w:p>
          <w:p>
            <w:pPr>
              <w:pStyle w:val="TableContents"/>
              <w:bidi w:val="0"/>
              <w:spacing w:before="340" w:after="283"/>
              <w:jc w:val="left"/>
              <w:rPr>
                <w:rFonts w:ascii="Tahoma;Geneva;sans-serif" w:hAnsi="Tahoma;Geneva;sans-serif"/>
                <w:b/>
                <w:sz w:val="24"/>
              </w:rPr>
            </w:pPr>
            <w:r>
              <w:rPr>
                <w:rFonts w:ascii="Tahoma;Geneva;sans-serif" w:hAnsi="Tahoma;Geneva;sans-serif"/>
                <w:b/>
                <w:sz w:val="24"/>
              </w:rPr>
              <w:t>OTHER PUBLIC COMPANY</w:t>
            </w:r>
          </w:p>
          <w:p>
            <w:pPr>
              <w:pStyle w:val="TableContents"/>
              <w:bidi w:val="0"/>
              <w:spacing w:lineRule="atLeast" w:line="175" w:before="20" w:after="283"/>
              <w:jc w:val="left"/>
              <w:rPr>
                <w:rFonts w:ascii="Tahoma;Geneva;sans-serif" w:hAnsi="Tahoma;Geneva;sans-serif"/>
                <w:b/>
                <w:sz w:val="24"/>
              </w:rPr>
            </w:pPr>
            <w:r>
              <w:rPr>
                <w:rFonts w:ascii="Tahoma;Geneva;sans-serif" w:hAnsi="Tahoma;Geneva;sans-serif"/>
                <w:b/>
                <w:sz w:val="24"/>
              </w:rPr>
              <w:t>BOARDS</w:t>
            </w:r>
            <w:r>
              <w:rPr>
                <w:rFonts w:ascii="Tahoma;Geneva;sans-serif" w:hAnsi="Tahoma;Geneva;sans-serif"/>
                <w:b/>
                <w:spacing w:val="-1"/>
                <w:sz w:val="24"/>
              </w:rPr>
              <w:t xml:space="preserve"> </w:t>
            </w:r>
            <w:r>
              <w:rPr>
                <w:rFonts w:ascii="Arial;Helvetica;sans-serif" w:hAnsi="Arial;Helvetica;sans-serif"/>
                <w:b w:val="false"/>
                <w:spacing w:val="-1"/>
                <w:sz w:val="18"/>
              </w:rPr>
              <w:t>(past five years)</w:t>
            </w:r>
          </w:p>
          <w:p>
            <w:pPr>
              <w:pStyle w:val="TableContents"/>
              <w:bidi w:val="0"/>
              <w:spacing w:before="70" w:after="283"/>
              <w:jc w:val="left"/>
              <w:rPr/>
            </w:pPr>
            <w:r>
              <w:rPr>
                <w:spacing w:val="-1"/>
              </w:rPr>
              <w:t>TuSimple (2021-2022)</w:t>
            </w:r>
            <w:r>
              <w:rPr/>
              <w:t xml:space="preserve"> </w:t>
            </w:r>
          </w:p>
          <w:p>
            <w:pPr>
              <w:pStyle w:val="TableContents"/>
              <w:bidi w:val="0"/>
              <w:spacing w:before="120" w:after="283"/>
              <w:jc w:val="left"/>
              <w:rPr/>
            </w:pPr>
            <w:r>
              <w:rPr>
                <w:spacing w:val="-1"/>
              </w:rPr>
              <w:t>LeddarTech (2023-2025)</w:t>
            </w:r>
            <w:r>
              <w:rPr/>
              <w:t xml:space="preserve"> </w:t>
            </w:r>
          </w:p>
          <w:p>
            <w:pPr>
              <w:pStyle w:val="TableContents"/>
              <w:bidi w:val="0"/>
              <w:spacing w:before="120" w:after="283"/>
              <w:jc w:val="left"/>
              <w:rPr/>
            </w:pPr>
            <w:r>
              <w:rPr>
                <w:spacing w:val="-1"/>
              </w:rPr>
              <w:t>Digital Turbine (since 2019)</w:t>
            </w:r>
            <w:r>
              <w:rPr/>
              <w:t xml:space="preserve"> </w:t>
            </w:r>
          </w:p>
        </w:tc>
        <w:tc>
          <w:tcPr>
            <w:tcW w:w="109" w:type="dxa"/>
            <w:tcBorders/>
            <w:vAlign w:val="center"/>
          </w:tcPr>
          <w:p>
            <w:pPr>
              <w:pStyle w:val="TableContents"/>
              <w:bidi w:val="0"/>
              <w:spacing w:before="0" w:after="283"/>
              <w:jc w:val="left"/>
              <w:rPr/>
            </w:pPr>
            <w:r>
              <w:rPr/>
              <w:t>​</w:t>
            </w:r>
          </w:p>
        </w:tc>
        <w:tc>
          <w:tcPr>
            <w:tcW w:w="109" w:type="dxa"/>
            <w:vMerge w:val="continue"/>
            <w:tcBorders>
              <w:bottom w:val="single" w:sz="6" w:space="0" w:color="666666"/>
            </w:tcBorders>
            <w:tcMar>
              <w:bottom w:w="28" w:type="dxa"/>
            </w:tcMar>
            <w:vAlign w:val="center"/>
          </w:tcPr>
          <w:p>
            <w:pPr>
              <w:pStyle w:val="Normal"/>
              <w:bidi w:val="0"/>
              <w:jc w:val="left"/>
              <w:rPr/>
            </w:pPr>
            <w:r>
              <w:rPr/>
            </w:r>
          </w:p>
        </w:tc>
        <w:tc>
          <w:tcPr>
            <w:tcW w:w="6891" w:type="dxa"/>
            <w:vMerge w:val="continue"/>
            <w:tcBorders>
              <w:bottom w:val="single" w:sz="6" w:space="0" w:color="666666"/>
            </w:tcBorders>
            <w:tcMar>
              <w:bottom w:w="80" w:type="dxa"/>
            </w:tcMar>
            <w:vAlign w:val="center"/>
          </w:tcPr>
          <w:p>
            <w:pPr>
              <w:pStyle w:val="Normal"/>
              <w:bidi w:val="0"/>
              <w:jc w:val="left"/>
              <w:rPr/>
            </w:pPr>
            <w:r>
              <w:rPr/>
            </w:r>
          </w:p>
        </w:tc>
        <w:tc>
          <w:tcPr>
            <w:tcW w:w="155" w:type="dxa"/>
            <w:vMerge w:val="continue"/>
            <w:tcBorders>
              <w:bottom w:val="single" w:sz="6" w:space="0" w:color="666666"/>
            </w:tcBorders>
            <w:tcMar>
              <w:bottom w:w="28" w:type="dxa"/>
            </w:tcMar>
            <w:vAlign w:val="center"/>
          </w:tcPr>
          <w:p>
            <w:pPr>
              <w:pStyle w:val="Normal"/>
              <w:bidi w:val="0"/>
              <w:jc w:val="left"/>
              <w:rPr/>
            </w:pPr>
            <w:r>
              <w:rPr/>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21</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0" w:name="tMASC"/>
      <w:bookmarkEnd w:id="1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440" w:before="120" w:after="2645"/>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MEETINGS AND STANDING COMMITTEES OF THE BOARD</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Board met five times in fiscal year 2026. In fiscal year 2026 each director attended at least 75% of the meetings of the Board and the committees on which he or she served.</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Board has three standing committees: Audit and Risk, Compensation and Human Capital, and Nominating and Corporate Governance. All Committees have written charters, which are reviewed on an annual basis, and are available on the Company’s website at www.coherent.com/company/investor-relations/governance.</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360" w:before="280" w:after="283"/>
        <w:jc w:val="left"/>
        <w:rPr>
          <w:rFonts w:ascii="Tahoma;Geneva;sans-serif" w:hAnsi="Tahoma;Geneva;sans-serif"/>
          <w:b/>
          <w:i w:val="false"/>
          <w:caps w:val="false"/>
          <w:smallCaps w:val="false"/>
          <w:color w:val="4C4C4C"/>
          <w:sz w:val="32"/>
          <w:shd w:fill="FFFFFF" w:val="clear"/>
        </w:rPr>
      </w:pPr>
      <w:r>
        <w:rPr>
          <w:rFonts w:ascii="Tahoma;Geneva;sans-serif" w:hAnsi="Tahoma;Geneva;sans-serif"/>
          <w:b/>
          <w:i w:val="false"/>
          <w:caps w:val="false"/>
          <w:smallCaps w:val="false"/>
          <w:color w:val="4C4C4C"/>
          <w:sz w:val="32"/>
          <w:shd w:fill="FFFFFF" w:val="clear"/>
        </w:rPr>
        <w:t>COMMITTEE OVERVIEW</w:t>
      </w:r>
      <w:r>
        <w:rPr>
          <w:rFonts w:ascii="Tahoma;Geneva;sans-serif" w:hAnsi="Tahoma;Geneva;sans-serif"/>
          <w:b/>
          <w:i w:val="false"/>
          <w:caps w:val="false"/>
          <w:smallCaps w:val="false"/>
          <w:color w:val="000000"/>
          <w:spacing w:val="6"/>
          <w:sz w:val="32"/>
          <w:shd w:fill="FFFFFF" w:val="clear"/>
        </w:rPr>
        <w:t xml:space="preserve"> </w:t>
      </w:r>
    </w:p>
    <w:tbl>
      <w:tblPr>
        <w:tblW w:w="9272" w:type="dxa"/>
        <w:jc w:val="left"/>
        <w:tblInd w:w="893" w:type="dxa"/>
        <w:tblLayout w:type="fixed"/>
        <w:tblCellMar>
          <w:top w:w="0" w:type="dxa"/>
          <w:left w:w="0" w:type="dxa"/>
          <w:bottom w:w="28" w:type="dxa"/>
          <w:right w:w="0" w:type="dxa"/>
        </w:tblCellMar>
      </w:tblPr>
      <w:tblGrid>
        <w:gridCol w:w="124"/>
        <w:gridCol w:w="2849"/>
        <w:gridCol w:w="109"/>
        <w:gridCol w:w="109"/>
        <w:gridCol w:w="244"/>
        <w:gridCol w:w="242"/>
        <w:gridCol w:w="242"/>
        <w:gridCol w:w="5197"/>
        <w:gridCol w:w="156"/>
      </w:tblGrid>
      <w:tr>
        <w:trPr/>
        <w:tc>
          <w:tcPr>
            <w:tcW w:w="124" w:type="dxa"/>
            <w:tcBorders>
              <w:bottom w:val="single" w:sz="2" w:space="0" w:color="0068C7"/>
            </w:tcBorders>
            <w:shd w:fill="0068C7" w:val="clear"/>
            <w:vAlign w:val="center"/>
          </w:tcPr>
          <w:p>
            <w:pPr>
              <w:pStyle w:val="TableContents"/>
              <w:bidi w:val="0"/>
              <w:spacing w:before="0" w:after="283"/>
              <w:jc w:val="left"/>
              <w:rPr/>
            </w:pPr>
            <w:r>
              <w:rPr/>
              <w:t>​</w:t>
            </w:r>
          </w:p>
        </w:tc>
        <w:tc>
          <w:tcPr>
            <w:tcW w:w="3311" w:type="dxa"/>
            <w:gridSpan w:val="4"/>
            <w:tcBorders>
              <w:bottom w:val="single" w:sz="2" w:space="0" w:color="0068C7"/>
            </w:tcBorders>
            <w:shd w:fill="0068C7" w:val="clear"/>
            <w:vAlign w:val="center"/>
          </w:tcPr>
          <w:p>
            <w:pPr>
              <w:pStyle w:val="TableContents"/>
              <w:bidi w:val="0"/>
              <w:spacing w:before="0" w:after="0"/>
              <w:jc w:val="left"/>
              <w:rPr/>
            </w:pPr>
            <w:r>
              <w:rPr/>
              <w:t> </w:t>
            </w:r>
            <w:r>
              <w:rPr>
                <w:rFonts w:ascii="Tahoma;Geneva;sans-serif" w:hAnsi="Tahoma;Geneva;sans-serif"/>
                <w:sz w:val="34"/>
              </w:rPr>
              <w:t>AUDIT AND RISK COMMITTEE</w:t>
            </w:r>
          </w:p>
        </w:tc>
        <w:tc>
          <w:tcPr>
            <w:tcW w:w="242" w:type="dxa"/>
            <w:tcBorders>
              <w:bottom w:val="single" w:sz="2" w:space="0" w:color="0068C7"/>
            </w:tcBorders>
            <w:shd w:fill="0068C7" w:val="clear"/>
            <w:vAlign w:val="center"/>
          </w:tcPr>
          <w:p>
            <w:pPr>
              <w:pStyle w:val="TableContents"/>
              <w:bidi w:val="0"/>
              <w:spacing w:before="0" w:after="283"/>
              <w:jc w:val="left"/>
              <w:rPr/>
            </w:pPr>
            <w:r>
              <w:rPr/>
              <w:t>​</w:t>
            </w:r>
          </w:p>
        </w:tc>
        <w:tc>
          <w:tcPr>
            <w:tcW w:w="242" w:type="dxa"/>
            <w:tcBorders>
              <w:bottom w:val="single" w:sz="2" w:space="0" w:color="0068C7"/>
            </w:tcBorders>
            <w:shd w:fill="0068C7" w:val="clear"/>
            <w:vAlign w:val="center"/>
          </w:tcPr>
          <w:p>
            <w:pPr>
              <w:pStyle w:val="TableContents"/>
              <w:bidi w:val="0"/>
              <w:spacing w:before="0" w:after="283"/>
              <w:jc w:val="left"/>
              <w:rPr/>
            </w:pPr>
            <w:r>
              <w:rPr/>
              <w:t>​</w:t>
            </w:r>
          </w:p>
        </w:tc>
        <w:tc>
          <w:tcPr>
            <w:tcW w:w="5197" w:type="dxa"/>
            <w:tcBorders>
              <w:bottom w:val="single" w:sz="2" w:space="0" w:color="0068C7"/>
            </w:tcBorders>
            <w:shd w:fill="0068C7" w:val="clear"/>
            <w:vAlign w:val="center"/>
          </w:tcPr>
          <w:p>
            <w:pPr>
              <w:pStyle w:val="TableContents"/>
              <w:bidi w:val="0"/>
              <w:spacing w:lineRule="atLeast" w:line="260" w:before="0" w:after="0"/>
              <w:jc w:val="right"/>
              <w:rPr/>
            </w:pPr>
            <w:r>
              <w:rPr>
                <w:spacing w:val="0"/>
              </w:rPr>
              <w:t xml:space="preserve">Meetings in FY 2026: 7 </w:t>
              <w:br/>
              <w:t>All members are independent</w:t>
            </w:r>
            <w:r>
              <w:rPr/>
              <w:t xml:space="preserve"> </w:t>
            </w:r>
          </w:p>
        </w:tc>
        <w:tc>
          <w:tcPr>
            <w:tcW w:w="156" w:type="dxa"/>
            <w:tcBorders>
              <w:bottom w:val="single" w:sz="2" w:space="0" w:color="0068C7"/>
            </w:tcBorders>
            <w:shd w:fill="0068C7" w:val="clear"/>
            <w:vAlign w:val="center"/>
          </w:tcPr>
          <w:p>
            <w:pPr>
              <w:pStyle w:val="TableContents"/>
              <w:bidi w:val="0"/>
              <w:spacing w:before="0" w:after="283"/>
              <w:jc w:val="left"/>
              <w:rPr/>
            </w:pPr>
            <w:r>
              <w:rPr/>
              <w:t>​</w:t>
            </w:r>
          </w:p>
        </w:tc>
      </w:tr>
      <w:tr>
        <w:trPr/>
        <w:tc>
          <w:tcPr>
            <w:tcW w:w="124" w:type="dxa"/>
            <w:tcBorders/>
            <w:tcMar>
              <w:top w:w="28" w:type="dxa"/>
              <w:left w:w="28" w:type="dxa"/>
              <w:right w:w="28" w:type="dxa"/>
            </w:tcMar>
            <w:vAlign w:val="center"/>
          </w:tcPr>
          <w:p>
            <w:pPr>
              <w:pStyle w:val="TableContents"/>
              <w:bidi w:val="0"/>
              <w:spacing w:before="0" w:after="283"/>
              <w:jc w:val="left"/>
              <w:rPr/>
            </w:pPr>
            <w:r>
              <w:rPr/>
              <w:t>​</w:t>
            </w:r>
          </w:p>
        </w:tc>
        <w:tc>
          <w:tcPr>
            <w:tcW w:w="284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t>​</w:t>
            </w:r>
          </w:p>
        </w:tc>
        <w:tc>
          <w:tcPr>
            <w:tcW w:w="244" w:type="dxa"/>
            <w:tcBorders/>
            <w:tcMar>
              <w:top w:w="28" w:type="dxa"/>
              <w:left w:w="28" w:type="dxa"/>
              <w:right w:w="28" w:type="dxa"/>
            </w:tcMar>
            <w:vAlign w:val="center"/>
          </w:tcPr>
          <w:p>
            <w:pPr>
              <w:pStyle w:val="TableContents"/>
              <w:bidi w:val="0"/>
              <w:spacing w:before="0" w:after="283"/>
              <w:jc w:val="left"/>
              <w:rPr/>
            </w:pPr>
            <w:r>
              <w:rPr/>
              <w:t>​</w:t>
            </w:r>
          </w:p>
        </w:tc>
        <w:tc>
          <w:tcPr>
            <w:tcW w:w="242" w:type="dxa"/>
            <w:tcBorders/>
            <w:tcMar>
              <w:top w:w="28" w:type="dxa"/>
              <w:left w:w="28" w:type="dxa"/>
              <w:right w:w="28" w:type="dxa"/>
            </w:tcMar>
            <w:vAlign w:val="center"/>
          </w:tcPr>
          <w:p>
            <w:pPr>
              <w:pStyle w:val="TableContents"/>
              <w:bidi w:val="0"/>
              <w:spacing w:before="0" w:after="283"/>
              <w:jc w:val="left"/>
              <w:rPr/>
            </w:pPr>
            <w:r>
              <w:rPr/>
              <w:t>​</w:t>
            </w:r>
          </w:p>
        </w:tc>
        <w:tc>
          <w:tcPr>
            <w:tcW w:w="242" w:type="dxa"/>
            <w:tcBorders/>
            <w:tcMar>
              <w:top w:w="28" w:type="dxa"/>
              <w:left w:w="28" w:type="dxa"/>
              <w:right w:w="28" w:type="dxa"/>
            </w:tcMar>
            <w:vAlign w:val="center"/>
          </w:tcPr>
          <w:p>
            <w:pPr>
              <w:pStyle w:val="TableContents"/>
              <w:bidi w:val="0"/>
              <w:spacing w:before="0" w:after="283"/>
              <w:jc w:val="left"/>
              <w:rPr/>
            </w:pPr>
            <w:r>
              <w:rPr/>
              <w:t>​</w:t>
            </w:r>
          </w:p>
        </w:tc>
        <w:tc>
          <w:tcPr>
            <w:tcW w:w="5197" w:type="dxa"/>
            <w:tcBorders/>
            <w:tcMar>
              <w:top w:w="28" w:type="dxa"/>
              <w:left w:w="28" w:type="dxa"/>
              <w:right w:w="28" w:type="dxa"/>
            </w:tcMar>
            <w:vAlign w:val="center"/>
          </w:tcPr>
          <w:p>
            <w:pPr>
              <w:pStyle w:val="TableContents"/>
              <w:bidi w:val="0"/>
              <w:spacing w:before="0" w:after="283"/>
              <w:jc w:val="left"/>
              <w:rPr/>
            </w:pPr>
            <w:r>
              <w:rPr/>
              <w:t>​</w:t>
            </w:r>
          </w:p>
        </w:tc>
        <w:tc>
          <w:tcPr>
            <w:tcW w:w="156" w:type="dxa"/>
            <w:tcBorders/>
            <w:tcMar>
              <w:top w:w="28" w:type="dxa"/>
              <w:left w:w="28" w:type="dxa"/>
              <w:right w:w="28" w:type="dxa"/>
            </w:tcM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2849" w:type="dxa"/>
            <w:vMerge w:val="restart"/>
            <w:tcBorders/>
            <w:tcMar>
              <w:bottom w:w="0" w:type="dxa"/>
            </w:tcMar>
            <w:vAlign w:val="center"/>
          </w:tcPr>
          <w:p>
            <w:pPr>
              <w:pStyle w:val="TableContents"/>
              <w:bidi w:val="0"/>
              <w:spacing w:lineRule="atLeast" w:line="210" w:before="0" w:after="0"/>
              <w:jc w:val="left"/>
              <w:rPr>
                <w:b/>
                <w:color w:val="0068C7"/>
                <w:sz w:val="17"/>
              </w:rPr>
            </w:pPr>
            <w:r>
              <w:rPr>
                <w:b/>
                <w:color w:val="0068C7"/>
                <w:spacing w:val="-2"/>
                <w:sz w:val="17"/>
              </w:rPr>
              <w:t>CHAIR</w:t>
            </w:r>
            <w:r>
              <w:rPr>
                <w:b/>
                <w:color w:val="0068C7"/>
                <w:sz w:val="17"/>
              </w:rPr>
              <w:t xml:space="preserve"> </w:t>
            </w:r>
          </w:p>
          <w:p>
            <w:pPr>
              <w:pStyle w:val="TableContents"/>
              <w:bidi w:val="0"/>
              <w:spacing w:lineRule="atLeast" w:line="180" w:before="80" w:after="0"/>
              <w:ind w:left="180" w:right="0" w:hanging="0"/>
              <w:jc w:val="left"/>
              <w:rPr>
                <w:spacing w:val="-1"/>
              </w:rPr>
            </w:pPr>
            <w:r>
              <w:rPr>
                <w:spacing w:val="-1"/>
              </w:rPr>
              <w:t xml:space="preserve">Stephen Skaggs* </w:t>
            </w:r>
            <w:r>
              <mc:AlternateContent>
                <mc:Choice Requires="wps">
                  <w:drawing>
                    <wp:anchor behindDoc="0" distT="50800" distB="0" distL="0" distR="0" simplePos="0" locked="0" layoutInCell="1" allowOverlap="1" relativeHeight="275">
                      <wp:simplePos x="0" y="0"/>
                      <wp:positionH relativeFrom="column">
                        <wp:align>left</wp:align>
                      </wp:positionH>
                      <wp:positionV relativeFrom="line">
                        <wp:align>top</wp:align>
                      </wp:positionV>
                      <wp:extent cx="114300" cy="350520"/>
                      <wp:effectExtent l="0" t="0" r="0" b="0"/>
                      <wp:wrapSquare wrapText="right"/>
                      <wp:docPr id="238" name="Frame5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60" w:after="283"/>
              <w:jc w:val="left"/>
              <w:rPr>
                <w:b/>
                <w:color w:val="0068C7"/>
                <w:sz w:val="17"/>
              </w:rPr>
            </w:pPr>
            <w:r>
              <w:rPr>
                <w:b/>
                <w:color w:val="0068C7"/>
                <w:spacing w:val="-2"/>
                <w:sz w:val="17"/>
              </w:rPr>
              <w:t>OTHER MEMBERS</w:t>
            </w:r>
            <w:r>
              <w:rPr>
                <w:b/>
                <w:color w:val="0068C7"/>
                <w:sz w:val="17"/>
              </w:rPr>
              <w:t xml:space="preserve"> </w:t>
            </w:r>
          </w:p>
          <w:p>
            <w:pPr>
              <w:pStyle w:val="TableContents"/>
              <w:bidi w:val="0"/>
              <w:spacing w:lineRule="atLeast" w:line="180" w:before="80" w:after="0"/>
              <w:ind w:left="180" w:right="0" w:hanging="0"/>
              <w:jc w:val="left"/>
              <w:rPr/>
            </w:pPr>
            <w:r>
              <w:rPr>
                <w:spacing w:val="-1"/>
              </w:rPr>
              <w:t>Joseph Corasanti*</w:t>
            </w:r>
            <w:r>
              <w:rPr/>
              <w:t xml:space="preserve"> </w:t>
            </w:r>
            <w:r>
              <mc:AlternateContent>
                <mc:Choice Requires="wps">
                  <w:drawing>
                    <wp:anchor behindDoc="0" distT="50800" distB="0" distL="0" distR="0" simplePos="0" locked="0" layoutInCell="1" allowOverlap="1" relativeHeight="276">
                      <wp:simplePos x="0" y="0"/>
                      <wp:positionH relativeFrom="column">
                        <wp:align>left</wp:align>
                      </wp:positionH>
                      <wp:positionV relativeFrom="line">
                        <wp:align>top</wp:align>
                      </wp:positionV>
                      <wp:extent cx="114300" cy="350520"/>
                      <wp:effectExtent l="0" t="0" r="0" b="0"/>
                      <wp:wrapSquare wrapText="right"/>
                      <wp:docPr id="239" name="Frame5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20" w:after="0"/>
              <w:ind w:left="180" w:right="0" w:hanging="0"/>
              <w:jc w:val="left"/>
              <w:rPr/>
            </w:pPr>
            <w:r>
              <w:rPr>
                <w:spacing w:val="-1"/>
              </w:rPr>
              <w:t>Enrico DiGirolamo*</w:t>
            </w:r>
            <w:r>
              <w:rPr/>
              <w:t xml:space="preserve"> </w:t>
            </w:r>
            <w:r>
              <mc:AlternateContent>
                <mc:Choice Requires="wps">
                  <w:drawing>
                    <wp:anchor behindDoc="0" distT="76200" distB="0" distL="0" distR="0" simplePos="0" locked="0" layoutInCell="1" allowOverlap="1" relativeHeight="277">
                      <wp:simplePos x="0" y="0"/>
                      <wp:positionH relativeFrom="column">
                        <wp:align>left</wp:align>
                      </wp:positionH>
                      <wp:positionV relativeFrom="line">
                        <wp:align>top</wp:align>
                      </wp:positionV>
                      <wp:extent cx="114300" cy="350520"/>
                      <wp:effectExtent l="0" t="0" r="0" b="0"/>
                      <wp:wrapSquare wrapText="right"/>
                      <wp:docPr id="240" name="Frame5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20" w:after="0"/>
              <w:ind w:left="180" w:right="0" w:hanging="0"/>
              <w:jc w:val="left"/>
              <w:rPr/>
            </w:pPr>
            <w:r>
              <w:rPr>
                <w:spacing w:val="-1"/>
              </w:rPr>
              <w:t>Michael Dreyer</w:t>
            </w:r>
            <w:r>
              <w:rPr/>
              <w:t xml:space="preserve"> </w:t>
            </w:r>
            <w:r>
              <mc:AlternateContent>
                <mc:Choice Requires="wps">
                  <w:drawing>
                    <wp:anchor behindDoc="0" distT="76200" distB="0" distL="0" distR="0" simplePos="0" locked="0" layoutInCell="1" allowOverlap="1" relativeHeight="278">
                      <wp:simplePos x="0" y="0"/>
                      <wp:positionH relativeFrom="column">
                        <wp:align>left</wp:align>
                      </wp:positionH>
                      <wp:positionV relativeFrom="line">
                        <wp:align>top</wp:align>
                      </wp:positionV>
                      <wp:extent cx="114300" cy="350520"/>
                      <wp:effectExtent l="0" t="0" r="0" b="0"/>
                      <wp:wrapSquare wrapText="right"/>
                      <wp:docPr id="241" name="Frame5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pt;mso-wrap-distance-bottom:0pt;margin-top:6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20" w:after="0"/>
              <w:ind w:left="180" w:right="0" w:hanging="0"/>
              <w:jc w:val="left"/>
              <w:rPr/>
            </w:pPr>
            <w:r>
              <w:rPr>
                <w:spacing w:val="-1"/>
              </w:rPr>
              <w:t>David Motley</w:t>
            </w:r>
            <w:r>
              <w:rPr/>
              <w:t xml:space="preserve"> </w:t>
            </w:r>
            <w:r>
              <mc:AlternateContent>
                <mc:Choice Requires="wps">
                  <w:drawing>
                    <wp:anchor behindDoc="0" distT="76200" distB="0" distL="0" distR="0" simplePos="0" locked="0" layoutInCell="1" allowOverlap="1" relativeHeight="281">
                      <wp:simplePos x="0" y="0"/>
                      <wp:positionH relativeFrom="column">
                        <wp:align>left</wp:align>
                      </wp:positionH>
                      <wp:positionV relativeFrom="line">
                        <wp:align>top</wp:align>
                      </wp:positionV>
                      <wp:extent cx="114300" cy="350520"/>
                      <wp:effectExtent l="0" t="0" r="0" b="0"/>
                      <wp:wrapSquare wrapText="right"/>
                      <wp:docPr id="242" name="Frame5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20" w:after="0"/>
              <w:ind w:left="180" w:right="0" w:hanging="0"/>
              <w:jc w:val="left"/>
              <w:rPr/>
            </w:pPr>
            <w:r>
              <w:rPr>
                <w:spacing w:val="-1"/>
              </w:rPr>
              <w:t>Shaker Sadasivam*</w:t>
            </w:r>
            <w:r>
              <w:rPr/>
              <w:t xml:space="preserve"> </w:t>
            </w:r>
            <w:r>
              <mc:AlternateContent>
                <mc:Choice Requires="wps">
                  <w:drawing>
                    <wp:anchor behindDoc="0" distT="76200" distB="0" distL="0" distR="0" simplePos="0" locked="0" layoutInCell="1" allowOverlap="1" relativeHeight="280">
                      <wp:simplePos x="0" y="0"/>
                      <wp:positionH relativeFrom="column">
                        <wp:align>left</wp:align>
                      </wp:positionH>
                      <wp:positionV relativeFrom="line">
                        <wp:align>top</wp:align>
                      </wp:positionV>
                      <wp:extent cx="114300" cy="350520"/>
                      <wp:effectExtent l="0" t="0" r="0" b="0"/>
                      <wp:wrapSquare wrapText="right"/>
                      <wp:docPr id="243" name="Frame5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0" w:before="280" w:after="0"/>
              <w:ind w:left="200" w:right="0" w:hanging="0"/>
              <w:jc w:val="left"/>
              <w:rPr>
                <w:spacing w:val="-1"/>
                <w:sz w:val="17"/>
              </w:rPr>
            </w:pPr>
            <w:r>
              <w:rPr>
                <w:spacing w:val="-1"/>
                <w:sz w:val="17"/>
              </w:rPr>
              <w:t xml:space="preserve">Qualifies as an audit committee “financial expert” as defined by the Securities and Exchange Commission </w:t>
            </w:r>
            <w:r>
              <mc:AlternateContent>
                <mc:Choice Requires="wps">
                  <w:drawing>
                    <wp:anchor behindDoc="0" distT="177800" distB="0" distL="0" distR="0" simplePos="0" locked="0" layoutInCell="1" allowOverlap="1" relativeHeight="279">
                      <wp:simplePos x="0" y="0"/>
                      <wp:positionH relativeFrom="column">
                        <wp:align>left</wp:align>
                      </wp:positionH>
                      <wp:positionV relativeFrom="line">
                        <wp:align>top</wp:align>
                      </wp:positionV>
                      <wp:extent cx="127000" cy="266700"/>
                      <wp:effectExtent l="0" t="0" r="0" b="0"/>
                      <wp:wrapSquare wrapText="right"/>
                      <wp:docPr id="244" name="Frame59"/>
                      <a:graphic xmlns:a="http://schemas.openxmlformats.org/drawingml/2006/main">
                        <a:graphicData uri="http://schemas.microsoft.com/office/word/2010/wordprocessingShape">
                          <wps:wsp>
                            <wps:cNvSpPr txBox="1"/>
                            <wps:spPr>
                              <a:xfrm>
                                <a:off x="0" y="0"/>
                                <a:ext cx="127000" cy="266700"/>
                              </a:xfrm>
                              <a:prstGeom prst="rect"/>
                              <a:solidFill>
                                <a:srgbClr val="FFFFFF"/>
                              </a:solidFill>
                            </wps:spPr>
                            <wps:txbx>
                              <w:txbxContent>
                                <w:p>
                                  <w:pPr>
                                    <w:pStyle w:val="TextBody"/>
                                    <w:bidi w:val="0"/>
                                    <w:spacing w:lineRule="atLeast" w:line="210" w:before="0" w:after="283"/>
                                    <w:jc w:val="left"/>
                                    <w:rPr>
                                      <w:sz w:val="17"/>
                                    </w:rPr>
                                  </w:pPr>
                                  <w:r>
                                    <w:rPr>
                                      <w:spacing w:val="-1"/>
                                      <w:sz w:val="17"/>
                                    </w:rPr>
                                    <w:t>*</w:t>
                                  </w:r>
                                  <w:r>
                                    <w:rPr>
                                      <w:sz w:val="17"/>
                                    </w:rPr>
                                    <w:t xml:space="preserve"> </w:t>
                                    <w:br/>
                                  </w:r>
                                </w:p>
                              </w:txbxContent>
                            </wps:txbx>
                            <wps:bodyPr anchor="t" lIns="0" tIns="0" rIns="0" bIns="0">
                              <a:noAutofit/>
                            </wps:bodyPr>
                          </wps:wsp>
                        </a:graphicData>
                      </a:graphic>
                    </wp:anchor>
                  </w:drawing>
                </mc:Choice>
                <mc:Fallback>
                  <w:pict>
                    <v:rect style="position:absolute;rotation:-0;width:10pt;height:21pt;mso-wrap-distance-left:0pt;mso-wrap-distance-right:0pt;mso-wrap-distance-top:14pt;mso-wrap-distance-bottom:0pt;margin-top:14pt;mso-position-vertical:top;mso-position-vertical-relative:text;margin-left:0pt;mso-position-horizontal:left;mso-position-horizontal-relative:text">
                      <v:textbox>
                        <w:txbxContent>
                          <w:p>
                            <w:pPr>
                              <w:pStyle w:val="TextBody"/>
                              <w:bidi w:val="0"/>
                              <w:spacing w:lineRule="atLeast" w:line="210" w:before="0" w:after="283"/>
                              <w:jc w:val="left"/>
                              <w:rPr>
                                <w:sz w:val="17"/>
                              </w:rPr>
                            </w:pPr>
                            <w:r>
                              <w:rPr>
                                <w:spacing w:val="-1"/>
                                <w:sz w:val="17"/>
                              </w:rPr>
                              <w:t>*</w:t>
                            </w:r>
                            <w:r>
                              <w:rPr>
                                <w:sz w:val="17"/>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bottom w:val="single" w:sz="8" w:space="0" w:color="000000"/>
            </w:tcBorders>
            <w:shd w:fill="F2F2F2" w:val="clear"/>
            <w:vAlign w:val="center"/>
          </w:tcPr>
          <w:p>
            <w:pPr>
              <w:pStyle w:val="TableContents"/>
              <w:bidi w:val="0"/>
              <w:spacing w:before="0" w:after="283"/>
              <w:jc w:val="left"/>
              <w:rPr/>
            </w:pPr>
            <w:r>
              <w:rPr/>
              <w:t>​</w:t>
            </w:r>
          </w:p>
        </w:tc>
        <w:tc>
          <w:tcPr>
            <w:tcW w:w="5925" w:type="dxa"/>
            <w:gridSpan w:val="4"/>
            <w:tcBorders>
              <w:bottom w:val="single" w:sz="8" w:space="0" w:color="000000"/>
            </w:tcBorders>
            <w:shd w:fill="F2F2F2" w:val="clear"/>
            <w:tcMar>
              <w:bottom w:w="68" w:type="dxa"/>
            </w:tcMar>
            <w:vAlign w:val="center"/>
          </w:tcPr>
          <w:p>
            <w:pPr>
              <w:pStyle w:val="TableContents"/>
              <w:bidi w:val="0"/>
              <w:spacing w:lineRule="atLeast" w:line="220" w:before="0" w:after="0"/>
              <w:jc w:val="left"/>
              <w:rPr>
                <w:b/>
              </w:rPr>
            </w:pPr>
            <w:r>
              <w:rPr>
                <w:b/>
                <w:spacing w:val="0"/>
              </w:rPr>
              <w:t>The Committee assists the Board with oversight of financial reporting, internal controls, and ethics and compliance matters.</w:t>
            </w:r>
            <w:r>
              <w:rPr>
                <w:b/>
              </w:rPr>
              <w:t xml:space="preserve"> </w:t>
            </w:r>
          </w:p>
        </w:tc>
        <w:tc>
          <w:tcPr>
            <w:tcW w:w="156" w:type="dxa"/>
            <w:tcBorders>
              <w:bottom w:val="single" w:sz="8" w:space="0" w:color="000000"/>
            </w:tcBorders>
            <w:shd w:fill="F2F2F2" w:val="cle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2849"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5925" w:type="dxa"/>
            <w:gridSpan w:val="4"/>
            <w:tcBorders/>
            <w:tcMar>
              <w:bottom w:w="0" w:type="dxa"/>
            </w:tcMar>
            <w:vAlign w:val="center"/>
          </w:tcPr>
          <w:p>
            <w:pPr>
              <w:pStyle w:val="TableContents"/>
              <w:bidi w:val="0"/>
              <w:spacing w:lineRule="atLeast" w:line="210" w:before="0" w:after="0"/>
              <w:jc w:val="left"/>
              <w:rPr>
                <w:b/>
                <w:color w:val="0068C7"/>
                <w:sz w:val="17"/>
              </w:rPr>
            </w:pPr>
            <w:r>
              <w:rPr>
                <w:b/>
                <w:color w:val="0068C7"/>
                <w:spacing w:val="-2"/>
                <w:sz w:val="17"/>
              </w:rPr>
              <w:t>KEY RESPONSIBILITIES</w:t>
            </w:r>
            <w:r>
              <w:rPr>
                <w:b/>
                <w:color w:val="0068C7"/>
                <w:sz w:val="17"/>
              </w:rPr>
              <w:t xml:space="preserve"> </w:t>
            </w:r>
          </w:p>
          <w:p>
            <w:pPr>
              <w:pStyle w:val="TableContents"/>
              <w:bidi w:val="0"/>
              <w:spacing w:lineRule="atLeast" w:line="220" w:before="120" w:after="0"/>
              <w:ind w:left="180" w:right="0" w:hanging="0"/>
              <w:jc w:val="left"/>
              <w:rPr/>
            </w:pPr>
            <w:r>
              <w:rPr>
                <w:spacing w:val="-1"/>
              </w:rPr>
              <w:t>Oversees the Company’s discharge of its financial reporting obligations, including ensuring the quality and integrity of the Company’s accounting, auditing, internal control, and financial reporting practices</w:t>
            </w:r>
            <w:r>
              <w:rPr/>
              <w:t xml:space="preserve"> </w:t>
            </w:r>
            <w:r>
              <mc:AlternateContent>
                <mc:Choice Requires="wps">
                  <w:drawing>
                    <wp:anchor behindDoc="0" distT="76200" distB="0" distL="0" distR="0" simplePos="0" locked="0" layoutInCell="1" allowOverlap="1" relativeHeight="282">
                      <wp:simplePos x="0" y="0"/>
                      <wp:positionH relativeFrom="column">
                        <wp:align>left</wp:align>
                      </wp:positionH>
                      <wp:positionV relativeFrom="line">
                        <wp:align>top</wp:align>
                      </wp:positionV>
                      <wp:extent cx="114300" cy="350520"/>
                      <wp:effectExtent l="0" t="0" r="0" b="0"/>
                      <wp:wrapSquare wrapText="right"/>
                      <wp:docPr id="245" name="Frame6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180" w:right="0" w:hanging="0"/>
              <w:jc w:val="left"/>
              <w:rPr/>
            </w:pPr>
            <w:r>
              <w:rPr>
                <w:spacing w:val="-1"/>
              </w:rPr>
              <w:t>Oversees the Company’s development of an effective and continuously improving control environment</w:t>
            </w:r>
            <w:r>
              <w:rPr/>
              <w:t xml:space="preserve"> </w:t>
            </w:r>
            <w:r>
              <mc:AlternateContent>
                <mc:Choice Requires="wps">
                  <w:drawing>
                    <wp:anchor behindDoc="0" distT="76200" distB="0" distL="0" distR="0" simplePos="0" locked="0" layoutInCell="1" allowOverlap="1" relativeHeight="283">
                      <wp:simplePos x="0" y="0"/>
                      <wp:positionH relativeFrom="column">
                        <wp:align>left</wp:align>
                      </wp:positionH>
                      <wp:positionV relativeFrom="line">
                        <wp:align>top</wp:align>
                      </wp:positionV>
                      <wp:extent cx="114300" cy="350520"/>
                      <wp:effectExtent l="0" t="0" r="0" b="0"/>
                      <wp:wrapSquare wrapText="right"/>
                      <wp:docPr id="246" name="Frame6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180" w:right="0" w:hanging="0"/>
              <w:jc w:val="left"/>
              <w:rPr/>
            </w:pPr>
            <w:r>
              <w:rPr>
                <w:spacing w:val="-1"/>
              </w:rPr>
              <w:t>Oversees the Company’s internal audit function and periodically reviews the responsibilities, resources, functions, and performance of the Company’s internal audit function</w:t>
            </w:r>
            <w:r>
              <w:rPr/>
              <w:t xml:space="preserve"> </w:t>
            </w:r>
            <w:r>
              <mc:AlternateContent>
                <mc:Choice Requires="wps">
                  <w:drawing>
                    <wp:anchor behindDoc="0" distT="76200" distB="0" distL="0" distR="0" simplePos="0" locked="0" layoutInCell="1" allowOverlap="1" relativeHeight="290">
                      <wp:simplePos x="0" y="0"/>
                      <wp:positionH relativeFrom="column">
                        <wp:align>left</wp:align>
                      </wp:positionH>
                      <wp:positionV relativeFrom="line">
                        <wp:align>top</wp:align>
                      </wp:positionV>
                      <wp:extent cx="114300" cy="350520"/>
                      <wp:effectExtent l="0" t="0" r="0" b="0"/>
                      <wp:wrapSquare wrapText="right"/>
                      <wp:docPr id="247" name="Frame6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180" w:right="0" w:hanging="0"/>
              <w:jc w:val="left"/>
              <w:rPr/>
            </w:pPr>
            <w:r>
              <w:rPr>
                <w:spacing w:val="-1"/>
              </w:rPr>
              <w:t>Retains sole responsibility for the selection, appointment, compensation, retention, and replacement of the independent auditors</w:t>
            </w:r>
            <w:r>
              <w:rPr/>
              <w:t xml:space="preserve"> </w:t>
            </w:r>
            <w:r>
              <mc:AlternateContent>
                <mc:Choice Requires="wps">
                  <w:drawing>
                    <wp:anchor behindDoc="0" distT="76200" distB="0" distL="0" distR="0" simplePos="0" locked="0" layoutInCell="1" allowOverlap="1" relativeHeight="289">
                      <wp:simplePos x="0" y="0"/>
                      <wp:positionH relativeFrom="column">
                        <wp:align>left</wp:align>
                      </wp:positionH>
                      <wp:positionV relativeFrom="line">
                        <wp:align>top</wp:align>
                      </wp:positionV>
                      <wp:extent cx="114300" cy="350520"/>
                      <wp:effectExtent l="0" t="0" r="0" b="0"/>
                      <wp:wrapSquare wrapText="right"/>
                      <wp:docPr id="248" name="Frame6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180" w:right="0" w:hanging="0"/>
              <w:jc w:val="left"/>
              <w:rPr/>
            </w:pPr>
            <w:r>
              <w:rPr>
                <w:spacing w:val="-1"/>
              </w:rPr>
              <w:t>Pre-approves all services provided by the independent auditors in accordance with applicable law</w:t>
            </w:r>
            <w:r>
              <w:rPr/>
              <w:t xml:space="preserve"> </w:t>
            </w:r>
            <w:r>
              <mc:AlternateContent>
                <mc:Choice Requires="wps">
                  <w:drawing>
                    <wp:anchor behindDoc="0" distT="76200" distB="0" distL="0" distR="0" simplePos="0" locked="0" layoutInCell="1" allowOverlap="1" relativeHeight="288">
                      <wp:simplePos x="0" y="0"/>
                      <wp:positionH relativeFrom="column">
                        <wp:align>left</wp:align>
                      </wp:positionH>
                      <wp:positionV relativeFrom="line">
                        <wp:align>top</wp:align>
                      </wp:positionV>
                      <wp:extent cx="114300" cy="350520"/>
                      <wp:effectExtent l="0" t="0" r="0" b="0"/>
                      <wp:wrapSquare wrapText="right"/>
                      <wp:docPr id="249" name="Frame6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180" w:right="0" w:hanging="0"/>
              <w:jc w:val="left"/>
              <w:rPr/>
            </w:pPr>
            <w:r>
              <w:rPr>
                <w:spacing w:val="-1"/>
              </w:rPr>
              <w:t>Establishes procedures for the submission, retention, and treatment of concerns regarding accounting, internal controls, auditing matters, financial statements, the Code of Ethical Business Conduct, or other Company policies</w:t>
            </w:r>
            <w:r>
              <w:rPr/>
              <w:t xml:space="preserve"> </w:t>
            </w:r>
            <w:r>
              <mc:AlternateContent>
                <mc:Choice Requires="wps">
                  <w:drawing>
                    <wp:anchor behindDoc="0" distT="76200" distB="0" distL="0" distR="0" simplePos="0" locked="0" layoutInCell="1" allowOverlap="1" relativeHeight="287">
                      <wp:simplePos x="0" y="0"/>
                      <wp:positionH relativeFrom="column">
                        <wp:align>left</wp:align>
                      </wp:positionH>
                      <wp:positionV relativeFrom="line">
                        <wp:align>top</wp:align>
                      </wp:positionV>
                      <wp:extent cx="114300" cy="350520"/>
                      <wp:effectExtent l="0" t="0" r="0" b="0"/>
                      <wp:wrapSquare wrapText="right"/>
                      <wp:docPr id="250" name="Frame6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180" w:right="0" w:hanging="0"/>
              <w:jc w:val="left"/>
              <w:rPr/>
            </w:pPr>
            <w:r>
              <w:rPr>
                <w:spacing w:val="-1"/>
              </w:rPr>
              <w:t>Reviews, approves, and oversees any related party transactions and any other potential conflict of interest situations on an ongoing basis and develops policies and procedures for the Audit and Risk Committee’s approval of related party transactions</w:t>
            </w:r>
            <w:r>
              <w:rPr/>
              <w:t xml:space="preserve"> </w:t>
            </w:r>
            <w:r>
              <mc:AlternateContent>
                <mc:Choice Requires="wps">
                  <w:drawing>
                    <wp:anchor behindDoc="0" distT="76200" distB="0" distL="0" distR="0" simplePos="0" locked="0" layoutInCell="1" allowOverlap="1" relativeHeight="286">
                      <wp:simplePos x="0" y="0"/>
                      <wp:positionH relativeFrom="column">
                        <wp:align>left</wp:align>
                      </wp:positionH>
                      <wp:positionV relativeFrom="line">
                        <wp:align>top</wp:align>
                      </wp:positionV>
                      <wp:extent cx="114300" cy="350520"/>
                      <wp:effectExtent l="0" t="0" r="0" b="0"/>
                      <wp:wrapSquare wrapText="right"/>
                      <wp:docPr id="251" name="Frame6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20" w:after="0"/>
              <w:ind w:left="180" w:right="0" w:hanging="0"/>
              <w:jc w:val="left"/>
              <w:rPr/>
            </w:pPr>
            <w:r>
              <w:rPr>
                <w:spacing w:val="-1"/>
              </w:rPr>
              <w:t>Prepares the Audit and Risk Committee Report for the annual proxy statement</w:t>
            </w:r>
            <w:r>
              <w:rPr/>
              <w:t xml:space="preserve"> </w:t>
            </w:r>
            <w:r>
              <mc:AlternateContent>
                <mc:Choice Requires="wps">
                  <w:drawing>
                    <wp:anchor behindDoc="0" distT="76200" distB="0" distL="0" distR="0" simplePos="0" locked="0" layoutInCell="1" allowOverlap="1" relativeHeight="285">
                      <wp:simplePos x="0" y="0"/>
                      <wp:positionH relativeFrom="column">
                        <wp:align>left</wp:align>
                      </wp:positionH>
                      <wp:positionV relativeFrom="line">
                        <wp:align>top</wp:align>
                      </wp:positionV>
                      <wp:extent cx="114300" cy="350520"/>
                      <wp:effectExtent l="0" t="0" r="0" b="0"/>
                      <wp:wrapSquare wrapText="right"/>
                      <wp:docPr id="252" name="Frame6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180" w:right="0" w:hanging="0"/>
              <w:jc w:val="left"/>
              <w:rPr/>
            </w:pPr>
            <w:r>
              <w:rPr>
                <w:spacing w:val="-1"/>
              </w:rPr>
              <w:t>Reviews the Company’s enterprise risk management program, strategies and operational risks, and risks not overseen by another committee</w:t>
            </w:r>
            <w:r>
              <w:rPr/>
              <w:t xml:space="preserve"> </w:t>
            </w:r>
            <w:r>
              <mc:AlternateContent>
                <mc:Choice Requires="wps">
                  <w:drawing>
                    <wp:anchor behindDoc="0" distT="76200" distB="0" distL="0" distR="0" simplePos="0" locked="0" layoutInCell="1" allowOverlap="1" relativeHeight="284">
                      <wp:simplePos x="0" y="0"/>
                      <wp:positionH relativeFrom="column">
                        <wp:align>left</wp:align>
                      </wp:positionH>
                      <wp:positionV relativeFrom="line">
                        <wp:align>top</wp:align>
                      </wp:positionV>
                      <wp:extent cx="114300" cy="350520"/>
                      <wp:effectExtent l="0" t="0" r="0" b="0"/>
                      <wp:wrapSquare wrapText="right"/>
                      <wp:docPr id="253" name="Frame6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22</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tbl>
      <w:tblPr>
        <w:tblW w:w="9272" w:type="dxa"/>
        <w:jc w:val="left"/>
        <w:tblInd w:w="893" w:type="dxa"/>
        <w:tblLayout w:type="fixed"/>
        <w:tblCellMar>
          <w:top w:w="0" w:type="dxa"/>
          <w:left w:w="0" w:type="dxa"/>
          <w:bottom w:w="28" w:type="dxa"/>
          <w:right w:w="0" w:type="dxa"/>
        </w:tblCellMar>
      </w:tblPr>
      <w:tblGrid>
        <w:gridCol w:w="124"/>
        <w:gridCol w:w="2006"/>
        <w:gridCol w:w="129"/>
        <w:gridCol w:w="129"/>
        <w:gridCol w:w="1057"/>
        <w:gridCol w:w="294"/>
        <w:gridCol w:w="294"/>
        <w:gridCol w:w="5082"/>
        <w:gridCol w:w="157"/>
      </w:tblGrid>
      <w:tr>
        <w:trPr/>
        <w:tc>
          <w:tcPr>
            <w:tcW w:w="124" w:type="dxa"/>
            <w:tcBorders>
              <w:bottom w:val="single" w:sz="2" w:space="0" w:color="0068C7"/>
            </w:tcBorders>
            <w:shd w:fill="0068C7" w:val="clear"/>
            <w:vAlign w:val="center"/>
          </w:tcPr>
          <w:p>
            <w:pPr>
              <w:pStyle w:val="TableContents"/>
              <w:bidi w:val="0"/>
              <w:spacing w:before="0" w:after="283"/>
              <w:jc w:val="left"/>
              <w:rPr/>
            </w:pPr>
            <w:r>
              <w:rPr/>
              <w:t>​</w:t>
            </w:r>
          </w:p>
        </w:tc>
        <w:tc>
          <w:tcPr>
            <w:tcW w:w="3321" w:type="dxa"/>
            <w:gridSpan w:val="4"/>
            <w:tcBorders>
              <w:bottom w:val="single" w:sz="2" w:space="0" w:color="0068C7"/>
            </w:tcBorders>
            <w:shd w:fill="0068C7" w:val="clear"/>
            <w:vAlign w:val="center"/>
          </w:tcPr>
          <w:p>
            <w:pPr>
              <w:pStyle w:val="TableContents"/>
              <w:bidi w:val="0"/>
              <w:spacing w:lineRule="atLeast" w:line="380" w:before="0" w:after="0"/>
              <w:jc w:val="left"/>
              <w:rPr/>
            </w:pPr>
            <w:r>
              <w:rPr/>
              <w:t> </w:t>
            </w:r>
            <w:r>
              <w:rPr>
                <w:rFonts w:ascii="Tahoma;Geneva;sans-serif" w:hAnsi="Tahoma;Geneva;sans-serif"/>
              </w:rPr>
              <w:t xml:space="preserve">COMPENSATION AND HUMAN CAPITAL </w:t>
              <w:br/>
              <w:t> COMMITTEE</w:t>
            </w:r>
          </w:p>
        </w:tc>
        <w:tc>
          <w:tcPr>
            <w:tcW w:w="294" w:type="dxa"/>
            <w:tcBorders>
              <w:bottom w:val="single" w:sz="2" w:space="0" w:color="0068C7"/>
            </w:tcBorders>
            <w:shd w:fill="0068C7" w:val="clear"/>
            <w:vAlign w:val="center"/>
          </w:tcPr>
          <w:p>
            <w:pPr>
              <w:pStyle w:val="TableContents"/>
              <w:bidi w:val="0"/>
              <w:spacing w:before="0" w:after="283"/>
              <w:jc w:val="left"/>
              <w:rPr/>
            </w:pPr>
            <w:r>
              <w:rPr/>
              <w:t>​</w:t>
            </w:r>
          </w:p>
        </w:tc>
        <w:tc>
          <w:tcPr>
            <w:tcW w:w="294" w:type="dxa"/>
            <w:tcBorders>
              <w:bottom w:val="single" w:sz="2" w:space="0" w:color="0068C7"/>
            </w:tcBorders>
            <w:shd w:fill="0068C7" w:val="clear"/>
            <w:vAlign w:val="center"/>
          </w:tcPr>
          <w:p>
            <w:pPr>
              <w:pStyle w:val="TableContents"/>
              <w:bidi w:val="0"/>
              <w:spacing w:before="0" w:after="283"/>
              <w:jc w:val="left"/>
              <w:rPr/>
            </w:pPr>
            <w:r>
              <w:rPr/>
              <w:t>​</w:t>
            </w:r>
          </w:p>
        </w:tc>
        <w:tc>
          <w:tcPr>
            <w:tcW w:w="5082" w:type="dxa"/>
            <w:tcBorders>
              <w:bottom w:val="single" w:sz="2" w:space="0" w:color="0068C7"/>
            </w:tcBorders>
            <w:shd w:fill="0068C7" w:val="clear"/>
            <w:vAlign w:val="center"/>
          </w:tcPr>
          <w:p>
            <w:pPr>
              <w:pStyle w:val="TableContents"/>
              <w:bidi w:val="0"/>
              <w:spacing w:lineRule="atLeast" w:line="260" w:before="0" w:after="0"/>
              <w:jc w:val="right"/>
              <w:rPr>
                <w:sz w:val="18"/>
              </w:rPr>
            </w:pPr>
            <w:r>
              <w:rPr>
                <w:spacing w:val="0"/>
                <w:sz w:val="18"/>
              </w:rPr>
              <w:t xml:space="preserve">Meetings in FY 2026: 5 </w:t>
              <w:br/>
              <w:t>All members are independent</w:t>
            </w:r>
            <w:r>
              <w:rPr>
                <w:sz w:val="18"/>
              </w:rPr>
              <w:t xml:space="preserve"> </w:t>
            </w:r>
          </w:p>
        </w:tc>
        <w:tc>
          <w:tcPr>
            <w:tcW w:w="157" w:type="dxa"/>
            <w:tcBorders>
              <w:bottom w:val="single" w:sz="2" w:space="0" w:color="0068C7"/>
            </w:tcBorders>
            <w:shd w:fill="0068C7" w:val="clear"/>
            <w:vAlign w:val="center"/>
          </w:tcPr>
          <w:p>
            <w:pPr>
              <w:pStyle w:val="TableContents"/>
              <w:bidi w:val="0"/>
              <w:spacing w:before="0" w:after="283"/>
              <w:jc w:val="left"/>
              <w:rPr/>
            </w:pPr>
            <w:r>
              <w:rPr/>
              <w:t>​</w:t>
            </w:r>
          </w:p>
        </w:tc>
      </w:tr>
      <w:tr>
        <w:trPr/>
        <w:tc>
          <w:tcPr>
            <w:tcW w:w="124" w:type="dxa"/>
            <w:tcBorders/>
            <w:tcMar>
              <w:top w:w="28" w:type="dxa"/>
              <w:left w:w="28" w:type="dxa"/>
              <w:right w:w="28" w:type="dxa"/>
            </w:tcMar>
            <w:vAlign w:val="center"/>
          </w:tcPr>
          <w:p>
            <w:pPr>
              <w:pStyle w:val="TableContents"/>
              <w:bidi w:val="0"/>
              <w:spacing w:before="0" w:after="283"/>
              <w:jc w:val="left"/>
              <w:rPr/>
            </w:pPr>
            <w:r>
              <w:rPr/>
              <w:t>​</w:t>
            </w:r>
          </w:p>
        </w:tc>
        <w:tc>
          <w:tcPr>
            <w:tcW w:w="2006" w:type="dxa"/>
            <w:tcBorders/>
            <w:tcMar>
              <w:top w:w="28" w:type="dxa"/>
              <w:left w:w="28" w:type="dxa"/>
              <w:right w:w="28" w:type="dxa"/>
            </w:tcMar>
            <w:vAlign w:val="center"/>
          </w:tcPr>
          <w:p>
            <w:pPr>
              <w:pStyle w:val="TableContents"/>
              <w:bidi w:val="0"/>
              <w:spacing w:before="0" w:after="283"/>
              <w:jc w:val="left"/>
              <w:rPr/>
            </w:pPr>
            <w:r>
              <w:rPr/>
              <w:t>​</w:t>
            </w:r>
          </w:p>
        </w:tc>
        <w:tc>
          <w:tcPr>
            <w:tcW w:w="129" w:type="dxa"/>
            <w:tcBorders/>
            <w:tcMar>
              <w:top w:w="28" w:type="dxa"/>
              <w:left w:w="28" w:type="dxa"/>
              <w:right w:w="28" w:type="dxa"/>
            </w:tcMar>
            <w:vAlign w:val="center"/>
          </w:tcPr>
          <w:p>
            <w:pPr>
              <w:pStyle w:val="TableContents"/>
              <w:bidi w:val="0"/>
              <w:spacing w:before="0" w:after="283"/>
              <w:jc w:val="left"/>
              <w:rPr/>
            </w:pPr>
            <w:r>
              <w:rPr/>
              <w:t>​</w:t>
            </w:r>
          </w:p>
        </w:tc>
        <w:tc>
          <w:tcPr>
            <w:tcW w:w="129" w:type="dxa"/>
            <w:tcBorders/>
            <w:tcMar>
              <w:top w:w="28" w:type="dxa"/>
              <w:left w:w="28" w:type="dxa"/>
              <w:right w:w="28" w:type="dxa"/>
            </w:tcMar>
            <w:vAlign w:val="center"/>
          </w:tcPr>
          <w:p>
            <w:pPr>
              <w:pStyle w:val="TableContents"/>
              <w:bidi w:val="0"/>
              <w:spacing w:before="0" w:after="283"/>
              <w:jc w:val="left"/>
              <w:rPr/>
            </w:pPr>
            <w:r>
              <w:rPr/>
              <w:t>​</w:t>
            </w:r>
          </w:p>
        </w:tc>
        <w:tc>
          <w:tcPr>
            <w:tcW w:w="1057" w:type="dxa"/>
            <w:tcBorders/>
            <w:tcMar>
              <w:top w:w="28" w:type="dxa"/>
              <w:left w:w="28" w:type="dxa"/>
              <w:right w:w="28" w:type="dxa"/>
            </w:tcMar>
            <w:vAlign w:val="center"/>
          </w:tcPr>
          <w:p>
            <w:pPr>
              <w:pStyle w:val="TableContents"/>
              <w:bidi w:val="0"/>
              <w:spacing w:before="0" w:after="283"/>
              <w:jc w:val="left"/>
              <w:rPr/>
            </w:pPr>
            <w:r>
              <w:rPr/>
              <w:t>​</w:t>
            </w:r>
          </w:p>
        </w:tc>
        <w:tc>
          <w:tcPr>
            <w:tcW w:w="294" w:type="dxa"/>
            <w:tcBorders/>
            <w:tcMar>
              <w:top w:w="28" w:type="dxa"/>
              <w:left w:w="28" w:type="dxa"/>
              <w:right w:w="28" w:type="dxa"/>
            </w:tcMar>
            <w:vAlign w:val="center"/>
          </w:tcPr>
          <w:p>
            <w:pPr>
              <w:pStyle w:val="TableContents"/>
              <w:bidi w:val="0"/>
              <w:spacing w:before="0" w:after="283"/>
              <w:jc w:val="left"/>
              <w:rPr/>
            </w:pPr>
            <w:r>
              <w:rPr/>
              <w:t>​</w:t>
            </w:r>
          </w:p>
        </w:tc>
        <w:tc>
          <w:tcPr>
            <w:tcW w:w="294" w:type="dxa"/>
            <w:tcBorders/>
            <w:tcMar>
              <w:top w:w="28" w:type="dxa"/>
              <w:left w:w="28" w:type="dxa"/>
              <w:right w:w="28" w:type="dxa"/>
            </w:tcMar>
            <w:vAlign w:val="center"/>
          </w:tcPr>
          <w:p>
            <w:pPr>
              <w:pStyle w:val="TableContents"/>
              <w:bidi w:val="0"/>
              <w:spacing w:before="0" w:after="283"/>
              <w:jc w:val="left"/>
              <w:rPr/>
            </w:pPr>
            <w:r>
              <w:rPr/>
              <w:t>​</w:t>
            </w:r>
          </w:p>
        </w:tc>
        <w:tc>
          <w:tcPr>
            <w:tcW w:w="5082" w:type="dxa"/>
            <w:tcBorders/>
            <w:tcMar>
              <w:top w:w="28" w:type="dxa"/>
              <w:left w:w="28" w:type="dxa"/>
              <w:right w:w="28" w:type="dxa"/>
            </w:tcMar>
            <w:vAlign w:val="center"/>
          </w:tcPr>
          <w:p>
            <w:pPr>
              <w:pStyle w:val="TableContents"/>
              <w:bidi w:val="0"/>
              <w:spacing w:before="0" w:after="283"/>
              <w:jc w:val="left"/>
              <w:rPr/>
            </w:pPr>
            <w:r>
              <w:rPr/>
              <w:t>​</w:t>
            </w:r>
          </w:p>
        </w:tc>
        <w:tc>
          <w:tcPr>
            <w:tcW w:w="157" w:type="dxa"/>
            <w:tcBorders/>
            <w:tcMar>
              <w:top w:w="28" w:type="dxa"/>
              <w:left w:w="28" w:type="dxa"/>
              <w:right w:w="28" w:type="dxa"/>
            </w:tcM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2006" w:type="dxa"/>
            <w:vMerge w:val="restart"/>
            <w:tcBorders/>
            <w:tcMar>
              <w:bottom w:w="0" w:type="dxa"/>
            </w:tcMar>
            <w:vAlign w:val="center"/>
          </w:tcPr>
          <w:p>
            <w:pPr>
              <w:pStyle w:val="TableContents"/>
              <w:bidi w:val="0"/>
              <w:spacing w:lineRule="atLeast" w:line="210" w:before="0" w:after="0"/>
              <w:jc w:val="left"/>
              <w:rPr>
                <w:b/>
                <w:color w:val="0068C7"/>
                <w:sz w:val="17"/>
              </w:rPr>
            </w:pPr>
            <w:r>
              <w:rPr>
                <w:b/>
                <w:color w:val="0068C7"/>
                <w:spacing w:val="-2"/>
                <w:sz w:val="17"/>
              </w:rPr>
              <w:t>CHAIR</w:t>
            </w:r>
            <w:r>
              <w:rPr>
                <w:b/>
                <w:color w:val="0068C7"/>
                <w:sz w:val="17"/>
              </w:rPr>
              <w:t xml:space="preserve"> </w:t>
            </w:r>
          </w:p>
          <w:p>
            <w:pPr>
              <w:pStyle w:val="TableContents"/>
              <w:bidi w:val="0"/>
              <w:spacing w:lineRule="atLeast" w:line="180" w:before="80" w:after="0"/>
              <w:ind w:left="180" w:right="0" w:hanging="0"/>
              <w:jc w:val="left"/>
              <w:rPr/>
            </w:pPr>
            <w:r>
              <w:rPr>
                <w:spacing w:val="-1"/>
              </w:rPr>
              <w:t>Michelle Sterling</w:t>
            </w:r>
            <w:r>
              <w:rPr/>
              <w:t xml:space="preserve"> </w:t>
            </w:r>
            <w:r>
              <mc:AlternateContent>
                <mc:Choice Requires="wps">
                  <w:drawing>
                    <wp:anchor behindDoc="0" distT="50800" distB="0" distL="0" distR="0" simplePos="0" locked="0" layoutInCell="1" allowOverlap="1" relativeHeight="291">
                      <wp:simplePos x="0" y="0"/>
                      <wp:positionH relativeFrom="column">
                        <wp:align>left</wp:align>
                      </wp:positionH>
                      <wp:positionV relativeFrom="line">
                        <wp:align>top</wp:align>
                      </wp:positionV>
                      <wp:extent cx="114300" cy="350520"/>
                      <wp:effectExtent l="0" t="0" r="0" b="0"/>
                      <wp:wrapSquare wrapText="right"/>
                      <wp:docPr id="254" name="Frame6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60" w:after="283"/>
              <w:jc w:val="left"/>
              <w:rPr>
                <w:b/>
                <w:color w:val="0068C7"/>
                <w:sz w:val="17"/>
              </w:rPr>
            </w:pPr>
            <w:r>
              <w:rPr>
                <w:b/>
                <w:color w:val="0068C7"/>
                <w:spacing w:val="-2"/>
                <w:sz w:val="17"/>
              </w:rPr>
              <w:t>OTHER MEMBERS</w:t>
            </w:r>
            <w:r>
              <w:rPr>
                <w:b/>
                <w:color w:val="0068C7"/>
                <w:sz w:val="17"/>
              </w:rPr>
              <w:t xml:space="preserve"> </w:t>
            </w:r>
          </w:p>
          <w:p>
            <w:pPr>
              <w:pStyle w:val="TableContents"/>
              <w:bidi w:val="0"/>
              <w:spacing w:lineRule="atLeast" w:line="180" w:before="80" w:after="0"/>
              <w:ind w:left="180" w:right="0" w:hanging="0"/>
              <w:jc w:val="left"/>
              <w:rPr/>
            </w:pPr>
            <w:r>
              <w:rPr>
                <w:spacing w:val="-1"/>
              </w:rPr>
              <w:t>Stephen Pagliuca</w:t>
            </w:r>
            <w:r>
              <w:rPr/>
              <w:t xml:space="preserve"> </w:t>
            </w:r>
            <w:r>
              <mc:AlternateContent>
                <mc:Choice Requires="wps">
                  <w:drawing>
                    <wp:anchor behindDoc="0" distT="50800" distB="0" distL="0" distR="0" simplePos="0" locked="0" layoutInCell="1" allowOverlap="1" relativeHeight="292">
                      <wp:simplePos x="0" y="0"/>
                      <wp:positionH relativeFrom="column">
                        <wp:align>left</wp:align>
                      </wp:positionH>
                      <wp:positionV relativeFrom="line">
                        <wp:align>top</wp:align>
                      </wp:positionV>
                      <wp:extent cx="114300" cy="350520"/>
                      <wp:effectExtent l="0" t="0" r="0" b="0"/>
                      <wp:wrapSquare wrapText="right"/>
                      <wp:docPr id="255" name="Frame7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20" w:after="0"/>
              <w:ind w:left="180" w:right="0" w:hanging="0"/>
              <w:jc w:val="left"/>
              <w:rPr/>
            </w:pPr>
            <w:r>
              <w:rPr>
                <w:spacing w:val="-1"/>
              </w:rPr>
              <w:t>Elizabeth Patrick</w:t>
            </w:r>
            <w:r>
              <w:rPr/>
              <w:t xml:space="preserve"> </w:t>
            </w:r>
            <w:r>
              <mc:AlternateContent>
                <mc:Choice Requires="wps">
                  <w:drawing>
                    <wp:anchor behindDoc="0" distT="76200" distB="0" distL="0" distR="0" simplePos="0" locked="0" layoutInCell="1" allowOverlap="1" relativeHeight="295">
                      <wp:simplePos x="0" y="0"/>
                      <wp:positionH relativeFrom="column">
                        <wp:align>left</wp:align>
                      </wp:positionH>
                      <wp:positionV relativeFrom="line">
                        <wp:align>top</wp:align>
                      </wp:positionV>
                      <wp:extent cx="114300" cy="350520"/>
                      <wp:effectExtent l="0" t="0" r="0" b="0"/>
                      <wp:wrapSquare wrapText="right"/>
                      <wp:docPr id="256" name="Frame7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20" w:after="0"/>
              <w:ind w:left="180" w:right="0" w:hanging="0"/>
              <w:jc w:val="left"/>
              <w:rPr/>
            </w:pPr>
            <w:r>
              <w:rPr>
                <w:spacing w:val="-1"/>
              </w:rPr>
              <w:t>Sandeep Vij</w:t>
            </w:r>
            <w:r>
              <w:rPr/>
              <w:t xml:space="preserve"> </w:t>
            </w:r>
            <w:r>
              <mc:AlternateContent>
                <mc:Choice Requires="wps">
                  <w:drawing>
                    <wp:anchor behindDoc="0" distT="76200" distB="0" distL="0" distR="0" simplePos="0" locked="0" layoutInCell="1" allowOverlap="1" relativeHeight="294">
                      <wp:simplePos x="0" y="0"/>
                      <wp:positionH relativeFrom="column">
                        <wp:align>left</wp:align>
                      </wp:positionH>
                      <wp:positionV relativeFrom="line">
                        <wp:align>top</wp:align>
                      </wp:positionV>
                      <wp:extent cx="114300" cy="350520"/>
                      <wp:effectExtent l="0" t="0" r="0" b="0"/>
                      <wp:wrapSquare wrapText="right"/>
                      <wp:docPr id="257" name="Frame7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20" w:after="0"/>
              <w:ind w:left="180" w:right="0" w:hanging="0"/>
              <w:jc w:val="left"/>
              <w:rPr>
                <w:spacing w:val="-1"/>
              </w:rPr>
            </w:pPr>
            <w:r>
              <w:rPr>
                <w:spacing w:val="-1"/>
              </w:rPr>
              <w:t xml:space="preserve">Howard Xia </w:t>
            </w:r>
            <w:r>
              <mc:AlternateContent>
                <mc:Choice Requires="wps">
                  <w:drawing>
                    <wp:anchor behindDoc="0" distT="76200" distB="0" distL="0" distR="0" simplePos="0" locked="0" layoutInCell="1" allowOverlap="1" relativeHeight="293">
                      <wp:simplePos x="0" y="0"/>
                      <wp:positionH relativeFrom="column">
                        <wp:align>left</wp:align>
                      </wp:positionH>
                      <wp:positionV relativeFrom="line">
                        <wp:align>top</wp:align>
                      </wp:positionV>
                      <wp:extent cx="114300" cy="350520"/>
                      <wp:effectExtent l="0" t="0" r="0" b="0"/>
                      <wp:wrapSquare wrapText="right"/>
                      <wp:docPr id="258" name="Frame7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29" w:type="dxa"/>
            <w:vMerge w:val="restart"/>
            <w:tcBorders/>
            <w:tcMar>
              <w:bottom w:w="0" w:type="dxa"/>
            </w:tcMar>
            <w:vAlign w:val="center"/>
          </w:tcPr>
          <w:p>
            <w:pPr>
              <w:pStyle w:val="TableContents"/>
              <w:bidi w:val="0"/>
              <w:spacing w:before="0" w:after="283"/>
              <w:jc w:val="left"/>
              <w:rPr/>
            </w:pPr>
            <w:r>
              <w:rPr/>
              <w:t>​</w:t>
            </w:r>
          </w:p>
        </w:tc>
        <w:tc>
          <w:tcPr>
            <w:tcW w:w="129" w:type="dxa"/>
            <w:tcBorders>
              <w:bottom w:val="single" w:sz="8" w:space="0" w:color="000000"/>
            </w:tcBorders>
            <w:shd w:fill="F2F2F2" w:val="clear"/>
            <w:vAlign w:val="center"/>
          </w:tcPr>
          <w:p>
            <w:pPr>
              <w:pStyle w:val="TableContents"/>
              <w:bidi w:val="0"/>
              <w:spacing w:before="0" w:after="283"/>
              <w:jc w:val="left"/>
              <w:rPr/>
            </w:pPr>
            <w:r>
              <w:rPr/>
              <w:t>​</w:t>
            </w:r>
          </w:p>
        </w:tc>
        <w:tc>
          <w:tcPr>
            <w:tcW w:w="6727" w:type="dxa"/>
            <w:gridSpan w:val="4"/>
            <w:tcBorders>
              <w:bottom w:val="single" w:sz="8" w:space="0" w:color="000000"/>
            </w:tcBorders>
            <w:shd w:fill="F2F2F2" w:val="clear"/>
            <w:tcMar>
              <w:bottom w:w="68" w:type="dxa"/>
            </w:tcMar>
            <w:vAlign w:val="center"/>
          </w:tcPr>
          <w:p>
            <w:pPr>
              <w:pStyle w:val="TableContents"/>
              <w:bidi w:val="0"/>
              <w:spacing w:lineRule="atLeast" w:line="220" w:before="0" w:after="0"/>
              <w:jc w:val="left"/>
              <w:rPr>
                <w:b/>
              </w:rPr>
            </w:pPr>
            <w:r>
              <w:rPr>
                <w:b/>
                <w:spacing w:val="0"/>
              </w:rPr>
              <w:t>The Committee supports oversight and review of the Company’s executive compensation program, broader pay philosophy, and human capital management strategies.</w:t>
            </w:r>
            <w:r>
              <w:rPr>
                <w:b/>
              </w:rPr>
              <w:t xml:space="preserve"> </w:t>
            </w:r>
          </w:p>
        </w:tc>
        <w:tc>
          <w:tcPr>
            <w:tcW w:w="157" w:type="dxa"/>
            <w:tcBorders>
              <w:bottom w:val="single" w:sz="8" w:space="0" w:color="000000"/>
            </w:tcBorders>
            <w:shd w:fill="F2F2F2" w:val="cle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2006" w:type="dxa"/>
            <w:vMerge w:val="continue"/>
            <w:tcBorders/>
            <w:tcMar>
              <w:bottom w:w="0" w:type="dxa"/>
            </w:tcMar>
            <w:vAlign w:val="center"/>
          </w:tcPr>
          <w:p>
            <w:pPr>
              <w:pStyle w:val="Normal"/>
              <w:bidi w:val="0"/>
              <w:jc w:val="left"/>
              <w:rPr/>
            </w:pPr>
            <w:r>
              <w:rPr/>
            </w:r>
          </w:p>
        </w:tc>
        <w:tc>
          <w:tcPr>
            <w:tcW w:w="129" w:type="dxa"/>
            <w:vMerge w:val="continue"/>
            <w:tcBorders/>
            <w:tcMar>
              <w:bottom w:w="0" w:type="dxa"/>
            </w:tcMar>
            <w:vAlign w:val="center"/>
          </w:tcPr>
          <w:p>
            <w:pPr>
              <w:pStyle w:val="Normal"/>
              <w:bidi w:val="0"/>
              <w:jc w:val="left"/>
              <w:rPr/>
            </w:pPr>
            <w:r>
              <w:rPr/>
            </w:r>
          </w:p>
        </w:tc>
        <w:tc>
          <w:tcPr>
            <w:tcW w:w="129" w:type="dxa"/>
            <w:tcBorders/>
            <w:tcMar>
              <w:bottom w:w="0" w:type="dxa"/>
            </w:tcMar>
            <w:vAlign w:val="center"/>
          </w:tcPr>
          <w:p>
            <w:pPr>
              <w:pStyle w:val="TableContents"/>
              <w:bidi w:val="0"/>
              <w:spacing w:before="0" w:after="283"/>
              <w:jc w:val="left"/>
              <w:rPr/>
            </w:pPr>
            <w:r>
              <w:rPr/>
              <w:t>​</w:t>
            </w:r>
          </w:p>
        </w:tc>
        <w:tc>
          <w:tcPr>
            <w:tcW w:w="6727" w:type="dxa"/>
            <w:gridSpan w:val="4"/>
            <w:tcBorders/>
            <w:tcMar>
              <w:bottom w:w="0" w:type="dxa"/>
            </w:tcMar>
            <w:vAlign w:val="center"/>
          </w:tcPr>
          <w:p>
            <w:pPr>
              <w:pStyle w:val="TableContents"/>
              <w:bidi w:val="0"/>
              <w:spacing w:lineRule="atLeast" w:line="210" w:before="0" w:after="0"/>
              <w:jc w:val="left"/>
              <w:rPr>
                <w:b/>
                <w:color w:val="0068C7"/>
                <w:sz w:val="17"/>
              </w:rPr>
            </w:pPr>
            <w:r>
              <w:rPr>
                <w:b/>
                <w:color w:val="0068C7"/>
                <w:spacing w:val="-2"/>
                <w:sz w:val="17"/>
              </w:rPr>
              <w:t>KEY RESPONSIBILITIES</w:t>
            </w:r>
            <w:r>
              <w:rPr>
                <w:b/>
                <w:color w:val="0068C7"/>
                <w:sz w:val="17"/>
              </w:rPr>
              <w:t xml:space="preserve"> </w:t>
            </w:r>
          </w:p>
          <w:p>
            <w:pPr>
              <w:pStyle w:val="TableContents"/>
              <w:bidi w:val="0"/>
              <w:spacing w:lineRule="atLeast" w:line="220" w:before="120" w:after="0"/>
              <w:ind w:left="180" w:right="0" w:hanging="0"/>
              <w:jc w:val="left"/>
              <w:rPr/>
            </w:pPr>
            <w:r>
              <w:rPr>
                <w:spacing w:val="-1"/>
              </w:rPr>
              <w:t>Annually reviews and approves all aspects of the CEO’s terms of employment, goals, objectives, and total compensation</w:t>
            </w:r>
            <w:r>
              <w:rPr/>
              <w:t xml:space="preserve"> </w:t>
            </w:r>
            <w:r>
              <mc:AlternateContent>
                <mc:Choice Requires="wps">
                  <w:drawing>
                    <wp:anchor behindDoc="0" distT="76200" distB="0" distL="0" distR="0" simplePos="0" locked="0" layoutInCell="1" allowOverlap="1" relativeHeight="296">
                      <wp:simplePos x="0" y="0"/>
                      <wp:positionH relativeFrom="column">
                        <wp:align>left</wp:align>
                      </wp:positionH>
                      <wp:positionV relativeFrom="line">
                        <wp:align>top</wp:align>
                      </wp:positionV>
                      <wp:extent cx="114300" cy="350520"/>
                      <wp:effectExtent l="0" t="0" r="0" b="0"/>
                      <wp:wrapSquare wrapText="right"/>
                      <wp:docPr id="259" name="Frame7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180" w:right="0" w:hanging="0"/>
              <w:jc w:val="left"/>
              <w:rPr/>
            </w:pPr>
            <w:r>
              <w:rPr>
                <w:spacing w:val="-1"/>
              </w:rPr>
              <w:t>Annually reviews and approves all aspects of the total compensation of the other executive officers under its purview</w:t>
            </w:r>
            <w:r>
              <w:rPr/>
              <w:t xml:space="preserve"> </w:t>
            </w:r>
            <w:r>
              <mc:AlternateContent>
                <mc:Choice Requires="wps">
                  <w:drawing>
                    <wp:anchor behindDoc="0" distT="76200" distB="0" distL="0" distR="0" simplePos="0" locked="0" layoutInCell="1" allowOverlap="1" relativeHeight="297">
                      <wp:simplePos x="0" y="0"/>
                      <wp:positionH relativeFrom="column">
                        <wp:align>left</wp:align>
                      </wp:positionH>
                      <wp:positionV relativeFrom="line">
                        <wp:align>top</wp:align>
                      </wp:positionV>
                      <wp:extent cx="114300" cy="350520"/>
                      <wp:effectExtent l="0" t="0" r="0" b="0"/>
                      <wp:wrapSquare wrapText="right"/>
                      <wp:docPr id="260" name="Frame7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180" w:right="0" w:hanging="0"/>
              <w:jc w:val="left"/>
              <w:rPr/>
            </w:pPr>
            <w:r>
              <w:rPr>
                <w:spacing w:val="-1"/>
              </w:rPr>
              <w:t>Annually reviews and recommends to the Board for approval the compensation package for non-employee directors</w:t>
            </w:r>
            <w:r>
              <w:rPr/>
              <w:t xml:space="preserve"> </w:t>
            </w:r>
            <w:r>
              <mc:AlternateContent>
                <mc:Choice Requires="wps">
                  <w:drawing>
                    <wp:anchor behindDoc="0" distT="76200" distB="0" distL="0" distR="0" simplePos="0" locked="0" layoutInCell="1" allowOverlap="1" relativeHeight="301">
                      <wp:simplePos x="0" y="0"/>
                      <wp:positionH relativeFrom="column">
                        <wp:align>left</wp:align>
                      </wp:positionH>
                      <wp:positionV relativeFrom="line">
                        <wp:align>top</wp:align>
                      </wp:positionV>
                      <wp:extent cx="114300" cy="350520"/>
                      <wp:effectExtent l="0" t="0" r="0" b="0"/>
                      <wp:wrapSquare wrapText="right"/>
                      <wp:docPr id="261" name="Frame7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180" w:right="0" w:hanging="0"/>
              <w:jc w:val="left"/>
              <w:rPr/>
            </w:pPr>
            <w:r>
              <w:rPr>
                <w:spacing w:val="-1"/>
              </w:rPr>
              <w:t>Administers compensation-related plans, including equity-based incentive compensation plans, employee stock purchase plans, and deferred compensation plans</w:t>
            </w:r>
            <w:r>
              <w:rPr/>
              <w:t xml:space="preserve"> </w:t>
            </w:r>
            <w:r>
              <mc:AlternateContent>
                <mc:Choice Requires="wps">
                  <w:drawing>
                    <wp:anchor behindDoc="0" distT="76200" distB="0" distL="0" distR="0" simplePos="0" locked="0" layoutInCell="1" allowOverlap="1" relativeHeight="300">
                      <wp:simplePos x="0" y="0"/>
                      <wp:positionH relativeFrom="column">
                        <wp:align>left</wp:align>
                      </wp:positionH>
                      <wp:positionV relativeFrom="line">
                        <wp:align>top</wp:align>
                      </wp:positionV>
                      <wp:extent cx="114300" cy="350520"/>
                      <wp:effectExtent l="0" t="0" r="0" b="0"/>
                      <wp:wrapSquare wrapText="right"/>
                      <wp:docPr id="262" name="Frame7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180" w:right="0" w:hanging="0"/>
              <w:jc w:val="left"/>
              <w:rPr/>
            </w:pPr>
            <w:r>
              <w:rPr>
                <w:spacing w:val="-1"/>
              </w:rPr>
              <w:t>Reviews with management the Company’s human capital management strategy and practices, which may include employee engagement programs and initiatives; employee safety; and succession planning</w:t>
            </w:r>
            <w:r>
              <w:rPr/>
              <w:t xml:space="preserve"> </w:t>
            </w:r>
            <w:r>
              <mc:AlternateContent>
                <mc:Choice Requires="wps">
                  <w:drawing>
                    <wp:anchor behindDoc="0" distT="76200" distB="0" distL="0" distR="0" simplePos="0" locked="0" layoutInCell="1" allowOverlap="1" relativeHeight="299">
                      <wp:simplePos x="0" y="0"/>
                      <wp:positionH relativeFrom="column">
                        <wp:align>left</wp:align>
                      </wp:positionH>
                      <wp:positionV relativeFrom="line">
                        <wp:align>top</wp:align>
                      </wp:positionV>
                      <wp:extent cx="114300" cy="350520"/>
                      <wp:effectExtent l="0" t="0" r="0" b="0"/>
                      <wp:wrapSquare wrapText="right"/>
                      <wp:docPr id="263" name="Frame7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180" w:right="0" w:hanging="0"/>
              <w:jc w:val="left"/>
              <w:rPr/>
            </w:pPr>
            <w:r>
              <w:rPr>
                <w:spacing w:val="-1"/>
              </w:rPr>
              <w:t>Reviews and discusses with management all executive compensation disclosures in the annual report and proxy statement, and produces the Compensation and Human Capital Committee’s report on executive officer compensation for the annual report or proxy statement</w:t>
            </w:r>
            <w:r>
              <w:rPr/>
              <w:t xml:space="preserve"> </w:t>
            </w:r>
            <w:r>
              <mc:AlternateContent>
                <mc:Choice Requires="wps">
                  <w:drawing>
                    <wp:anchor behindDoc="0" distT="76200" distB="0" distL="0" distR="0" simplePos="0" locked="0" layoutInCell="1" allowOverlap="1" relativeHeight="298">
                      <wp:simplePos x="0" y="0"/>
                      <wp:positionH relativeFrom="column">
                        <wp:align>left</wp:align>
                      </wp:positionH>
                      <wp:positionV relativeFrom="line">
                        <wp:align>top</wp:align>
                      </wp:positionV>
                      <wp:extent cx="114300" cy="350520"/>
                      <wp:effectExtent l="0" t="0" r="0" b="0"/>
                      <wp:wrapSquare wrapText="right"/>
                      <wp:docPr id="264" name="Frame7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7" w:type="dxa"/>
            <w:tcBorders/>
            <w:tcMar>
              <w:bottom w:w="0" w:type="dxa"/>
            </w:tcMar>
            <w:vAlign w:val="center"/>
          </w:tcPr>
          <w:p>
            <w:pPr>
              <w:pStyle w:val="TableContents"/>
              <w:bidi w:val="0"/>
              <w:spacing w:before="0" w:after="283"/>
              <w:jc w:val="left"/>
              <w:rPr/>
            </w:pPr>
            <w:r>
              <w:rPr/>
              <w:t>​</w:t>
            </w:r>
          </w:p>
        </w:tc>
      </w:tr>
    </w:tbl>
    <w:tbl>
      <w:tblPr>
        <w:tblW w:w="9272" w:type="dxa"/>
        <w:jc w:val="left"/>
        <w:tblInd w:w="893" w:type="dxa"/>
        <w:tblLayout w:type="fixed"/>
        <w:tblCellMar>
          <w:top w:w="0" w:type="dxa"/>
          <w:left w:w="0" w:type="dxa"/>
          <w:bottom w:w="28" w:type="dxa"/>
          <w:right w:w="0" w:type="dxa"/>
        </w:tblCellMar>
      </w:tblPr>
      <w:tblGrid>
        <w:gridCol w:w="124"/>
        <w:gridCol w:w="1948"/>
        <w:gridCol w:w="128"/>
        <w:gridCol w:w="128"/>
        <w:gridCol w:w="718"/>
        <w:gridCol w:w="308"/>
        <w:gridCol w:w="308"/>
        <w:gridCol w:w="5453"/>
        <w:gridCol w:w="157"/>
      </w:tblGrid>
      <w:tr>
        <w:trPr/>
        <w:tc>
          <w:tcPr>
            <w:tcW w:w="124" w:type="dxa"/>
            <w:tcBorders>
              <w:bottom w:val="single" w:sz="2" w:space="0" w:color="0068C7"/>
            </w:tcBorders>
            <w:shd w:fill="0068C7" w:val="clear"/>
            <w:vAlign w:val="center"/>
          </w:tcPr>
          <w:p>
            <w:pPr>
              <w:pStyle w:val="TableContents"/>
              <w:bidi w:val="0"/>
              <w:spacing w:before="0" w:after="283"/>
              <w:jc w:val="left"/>
              <w:rPr/>
            </w:pPr>
            <w:r>
              <w:rPr/>
              <w:t>​</w:t>
            </w:r>
          </w:p>
        </w:tc>
        <w:tc>
          <w:tcPr>
            <w:tcW w:w="2922" w:type="dxa"/>
            <w:gridSpan w:val="4"/>
            <w:tcBorders>
              <w:bottom w:val="single" w:sz="2" w:space="0" w:color="0068C7"/>
            </w:tcBorders>
            <w:shd w:fill="0068C7" w:val="clear"/>
            <w:vAlign w:val="center"/>
          </w:tcPr>
          <w:p>
            <w:pPr>
              <w:pStyle w:val="TableContents"/>
              <w:bidi w:val="0"/>
              <w:spacing w:lineRule="atLeast" w:line="380" w:before="0" w:after="0"/>
              <w:jc w:val="left"/>
              <w:rPr/>
            </w:pPr>
            <w:r>
              <w:rPr/>
              <w:t> </w:t>
            </w:r>
            <w:r>
              <w:rPr>
                <w:rFonts w:ascii="Tahoma;Geneva;sans-serif" w:hAnsi="Tahoma;Geneva;sans-serif"/>
              </w:rPr>
              <w:t xml:space="preserve">NOMINATING AND CORPORATE </w:t>
              <w:br/>
              <w:t> GOVERNANCE COMMITTEE</w:t>
            </w:r>
          </w:p>
        </w:tc>
        <w:tc>
          <w:tcPr>
            <w:tcW w:w="308" w:type="dxa"/>
            <w:tcBorders>
              <w:bottom w:val="single" w:sz="2" w:space="0" w:color="0068C7"/>
            </w:tcBorders>
            <w:shd w:fill="0068C7" w:val="clear"/>
            <w:vAlign w:val="center"/>
          </w:tcPr>
          <w:p>
            <w:pPr>
              <w:pStyle w:val="TableContents"/>
              <w:bidi w:val="0"/>
              <w:spacing w:before="0" w:after="283"/>
              <w:jc w:val="left"/>
              <w:rPr/>
            </w:pPr>
            <w:r>
              <w:rPr/>
              <w:t>​</w:t>
            </w:r>
          </w:p>
        </w:tc>
        <w:tc>
          <w:tcPr>
            <w:tcW w:w="308" w:type="dxa"/>
            <w:tcBorders>
              <w:bottom w:val="single" w:sz="2" w:space="0" w:color="0068C7"/>
            </w:tcBorders>
            <w:shd w:fill="0068C7" w:val="clear"/>
            <w:vAlign w:val="center"/>
          </w:tcPr>
          <w:p>
            <w:pPr>
              <w:pStyle w:val="TableContents"/>
              <w:bidi w:val="0"/>
              <w:spacing w:before="0" w:after="283"/>
              <w:jc w:val="left"/>
              <w:rPr/>
            </w:pPr>
            <w:r>
              <w:rPr/>
              <w:t>​</w:t>
            </w:r>
          </w:p>
        </w:tc>
        <w:tc>
          <w:tcPr>
            <w:tcW w:w="5453" w:type="dxa"/>
            <w:tcBorders>
              <w:bottom w:val="single" w:sz="2" w:space="0" w:color="0068C7"/>
            </w:tcBorders>
            <w:shd w:fill="0068C7" w:val="clear"/>
            <w:vAlign w:val="center"/>
          </w:tcPr>
          <w:p>
            <w:pPr>
              <w:pStyle w:val="TableContents"/>
              <w:bidi w:val="0"/>
              <w:spacing w:lineRule="atLeast" w:line="260" w:before="0" w:after="0"/>
              <w:jc w:val="right"/>
              <w:rPr>
                <w:sz w:val="18"/>
              </w:rPr>
            </w:pPr>
            <w:r>
              <w:rPr>
                <w:spacing w:val="0"/>
                <w:sz w:val="18"/>
              </w:rPr>
              <w:t xml:space="preserve">Meetings in FY 2026: 4 </w:t>
              <w:br/>
              <w:t>All members are independent</w:t>
            </w:r>
            <w:r>
              <w:rPr>
                <w:sz w:val="18"/>
              </w:rPr>
              <w:t xml:space="preserve"> </w:t>
            </w:r>
          </w:p>
        </w:tc>
        <w:tc>
          <w:tcPr>
            <w:tcW w:w="157" w:type="dxa"/>
            <w:tcBorders>
              <w:bottom w:val="single" w:sz="2" w:space="0" w:color="0068C7"/>
            </w:tcBorders>
            <w:shd w:fill="0068C7" w:val="clear"/>
            <w:vAlign w:val="center"/>
          </w:tcPr>
          <w:p>
            <w:pPr>
              <w:pStyle w:val="TableContents"/>
              <w:bidi w:val="0"/>
              <w:spacing w:before="0" w:after="283"/>
              <w:jc w:val="left"/>
              <w:rPr/>
            </w:pPr>
            <w:r>
              <w:rPr/>
              <w:t>​</w:t>
            </w:r>
          </w:p>
        </w:tc>
      </w:tr>
      <w:tr>
        <w:trPr/>
        <w:tc>
          <w:tcPr>
            <w:tcW w:w="124" w:type="dxa"/>
            <w:tcBorders/>
            <w:tcMar>
              <w:top w:w="28" w:type="dxa"/>
              <w:left w:w="28" w:type="dxa"/>
              <w:right w:w="28" w:type="dxa"/>
            </w:tcMar>
            <w:vAlign w:val="center"/>
          </w:tcPr>
          <w:p>
            <w:pPr>
              <w:pStyle w:val="TableContents"/>
              <w:bidi w:val="0"/>
              <w:spacing w:before="0" w:after="283"/>
              <w:jc w:val="left"/>
              <w:rPr/>
            </w:pPr>
            <w:r>
              <w:rPr/>
              <w:t>​</w:t>
            </w:r>
          </w:p>
        </w:tc>
        <w:tc>
          <w:tcPr>
            <w:tcW w:w="1948" w:type="dxa"/>
            <w:tcBorders/>
            <w:tcMar>
              <w:top w:w="28" w:type="dxa"/>
              <w:left w:w="28" w:type="dxa"/>
              <w:right w:w="28" w:type="dxa"/>
            </w:tcMar>
            <w:vAlign w:val="center"/>
          </w:tcPr>
          <w:p>
            <w:pPr>
              <w:pStyle w:val="TableContents"/>
              <w:bidi w:val="0"/>
              <w:spacing w:before="0" w:after="283"/>
              <w:jc w:val="left"/>
              <w:rPr/>
            </w:pPr>
            <w:r>
              <w:rPr/>
              <w:t>​</w:t>
            </w:r>
          </w:p>
        </w:tc>
        <w:tc>
          <w:tcPr>
            <w:tcW w:w="128" w:type="dxa"/>
            <w:tcBorders/>
            <w:tcMar>
              <w:top w:w="28" w:type="dxa"/>
              <w:left w:w="28" w:type="dxa"/>
              <w:right w:w="28" w:type="dxa"/>
            </w:tcMar>
            <w:vAlign w:val="center"/>
          </w:tcPr>
          <w:p>
            <w:pPr>
              <w:pStyle w:val="TableContents"/>
              <w:bidi w:val="0"/>
              <w:spacing w:before="0" w:after="283"/>
              <w:jc w:val="left"/>
              <w:rPr/>
            </w:pPr>
            <w:r>
              <w:rPr/>
              <w:t>​</w:t>
            </w:r>
          </w:p>
        </w:tc>
        <w:tc>
          <w:tcPr>
            <w:tcW w:w="128" w:type="dxa"/>
            <w:tcBorders/>
            <w:tcMar>
              <w:top w:w="28" w:type="dxa"/>
              <w:left w:w="28" w:type="dxa"/>
              <w:right w:w="28" w:type="dxa"/>
            </w:tcMar>
            <w:vAlign w:val="center"/>
          </w:tcPr>
          <w:p>
            <w:pPr>
              <w:pStyle w:val="TableContents"/>
              <w:bidi w:val="0"/>
              <w:spacing w:before="0" w:after="283"/>
              <w:jc w:val="left"/>
              <w:rPr/>
            </w:pPr>
            <w:r>
              <w:rPr/>
              <w:t>​</w:t>
            </w:r>
          </w:p>
        </w:tc>
        <w:tc>
          <w:tcPr>
            <w:tcW w:w="718" w:type="dxa"/>
            <w:tcBorders/>
            <w:tcMar>
              <w:top w:w="28" w:type="dxa"/>
              <w:left w:w="28" w:type="dxa"/>
              <w:right w:w="28" w:type="dxa"/>
            </w:tcMar>
            <w:vAlign w:val="center"/>
          </w:tcPr>
          <w:p>
            <w:pPr>
              <w:pStyle w:val="TableContents"/>
              <w:bidi w:val="0"/>
              <w:spacing w:before="0" w:after="283"/>
              <w:jc w:val="left"/>
              <w:rPr/>
            </w:pPr>
            <w:r>
              <w:rPr/>
              <w:t>​</w:t>
            </w:r>
          </w:p>
        </w:tc>
        <w:tc>
          <w:tcPr>
            <w:tcW w:w="308" w:type="dxa"/>
            <w:tcBorders/>
            <w:tcMar>
              <w:top w:w="28" w:type="dxa"/>
              <w:left w:w="28" w:type="dxa"/>
              <w:right w:w="28" w:type="dxa"/>
            </w:tcMar>
            <w:vAlign w:val="center"/>
          </w:tcPr>
          <w:p>
            <w:pPr>
              <w:pStyle w:val="TableContents"/>
              <w:bidi w:val="0"/>
              <w:spacing w:before="0" w:after="283"/>
              <w:jc w:val="left"/>
              <w:rPr/>
            </w:pPr>
            <w:r>
              <w:rPr/>
              <w:t>​</w:t>
            </w:r>
          </w:p>
        </w:tc>
        <w:tc>
          <w:tcPr>
            <w:tcW w:w="308" w:type="dxa"/>
            <w:tcBorders/>
            <w:tcMar>
              <w:top w:w="28" w:type="dxa"/>
              <w:left w:w="28" w:type="dxa"/>
              <w:right w:w="28" w:type="dxa"/>
            </w:tcMar>
            <w:vAlign w:val="center"/>
          </w:tcPr>
          <w:p>
            <w:pPr>
              <w:pStyle w:val="TableContents"/>
              <w:bidi w:val="0"/>
              <w:spacing w:before="0" w:after="283"/>
              <w:jc w:val="left"/>
              <w:rPr/>
            </w:pPr>
            <w:r>
              <w:rPr/>
              <w:t>​</w:t>
            </w:r>
          </w:p>
        </w:tc>
        <w:tc>
          <w:tcPr>
            <w:tcW w:w="5453" w:type="dxa"/>
            <w:tcBorders/>
            <w:tcMar>
              <w:top w:w="28" w:type="dxa"/>
              <w:left w:w="28" w:type="dxa"/>
              <w:right w:w="28" w:type="dxa"/>
            </w:tcMar>
            <w:vAlign w:val="center"/>
          </w:tcPr>
          <w:p>
            <w:pPr>
              <w:pStyle w:val="TableContents"/>
              <w:bidi w:val="0"/>
              <w:spacing w:before="0" w:after="283"/>
              <w:jc w:val="left"/>
              <w:rPr/>
            </w:pPr>
            <w:r>
              <w:rPr/>
              <w:t>​</w:t>
            </w:r>
          </w:p>
        </w:tc>
        <w:tc>
          <w:tcPr>
            <w:tcW w:w="157" w:type="dxa"/>
            <w:tcBorders/>
            <w:tcMar>
              <w:top w:w="28" w:type="dxa"/>
              <w:left w:w="28" w:type="dxa"/>
              <w:right w:w="28" w:type="dxa"/>
            </w:tcM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1948" w:type="dxa"/>
            <w:vMerge w:val="restart"/>
            <w:tcBorders/>
            <w:tcMar>
              <w:bottom w:w="0" w:type="dxa"/>
            </w:tcMar>
            <w:vAlign w:val="center"/>
          </w:tcPr>
          <w:p>
            <w:pPr>
              <w:pStyle w:val="TableContents"/>
              <w:bidi w:val="0"/>
              <w:spacing w:lineRule="atLeast" w:line="210" w:before="0" w:after="0"/>
              <w:jc w:val="left"/>
              <w:rPr>
                <w:b/>
                <w:color w:val="0068C7"/>
                <w:sz w:val="17"/>
              </w:rPr>
            </w:pPr>
            <w:r>
              <w:rPr>
                <w:b/>
                <w:color w:val="0068C7"/>
                <w:spacing w:val="-2"/>
                <w:sz w:val="17"/>
              </w:rPr>
              <w:t>CHAIR</w:t>
            </w:r>
            <w:r>
              <w:rPr>
                <w:b/>
                <w:color w:val="0068C7"/>
                <w:sz w:val="17"/>
              </w:rPr>
              <w:t xml:space="preserve"> </w:t>
            </w:r>
          </w:p>
          <w:p>
            <w:pPr>
              <w:pStyle w:val="TableContents"/>
              <w:bidi w:val="0"/>
              <w:spacing w:lineRule="atLeast" w:line="180" w:before="80" w:after="0"/>
              <w:ind w:left="180" w:right="0" w:hanging="0"/>
              <w:jc w:val="left"/>
              <w:rPr/>
            </w:pPr>
            <w:r>
              <w:rPr>
                <w:spacing w:val="-1"/>
              </w:rPr>
              <w:t>Joseph Corasanti</w:t>
            </w:r>
            <w:r>
              <w:rPr/>
              <w:t xml:space="preserve"> </w:t>
            </w:r>
            <w:r>
              <mc:AlternateContent>
                <mc:Choice Requires="wps">
                  <w:drawing>
                    <wp:anchor behindDoc="0" distT="50800" distB="0" distL="0" distR="0" simplePos="0" locked="0" layoutInCell="1" allowOverlap="1" relativeHeight="302">
                      <wp:simplePos x="0" y="0"/>
                      <wp:positionH relativeFrom="column">
                        <wp:align>left</wp:align>
                      </wp:positionH>
                      <wp:positionV relativeFrom="line">
                        <wp:align>top</wp:align>
                      </wp:positionV>
                      <wp:extent cx="114300" cy="350520"/>
                      <wp:effectExtent l="0" t="0" r="0" b="0"/>
                      <wp:wrapSquare wrapText="right"/>
                      <wp:docPr id="265" name="Frame8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60" w:after="283"/>
              <w:jc w:val="left"/>
              <w:rPr>
                <w:b/>
                <w:color w:val="0068C7"/>
                <w:sz w:val="17"/>
              </w:rPr>
            </w:pPr>
            <w:r>
              <w:rPr>
                <w:b/>
                <w:color w:val="0068C7"/>
                <w:spacing w:val="-2"/>
                <w:sz w:val="17"/>
              </w:rPr>
              <w:t>OTHER MEMBERS</w:t>
            </w:r>
            <w:r>
              <w:rPr>
                <w:b/>
                <w:color w:val="0068C7"/>
                <w:sz w:val="17"/>
              </w:rPr>
              <w:t xml:space="preserve"> </w:t>
            </w:r>
          </w:p>
          <w:p>
            <w:pPr>
              <w:pStyle w:val="TableContents"/>
              <w:bidi w:val="0"/>
              <w:spacing w:lineRule="atLeast" w:line="180" w:before="80" w:after="0"/>
              <w:ind w:left="180" w:right="0" w:hanging="0"/>
              <w:jc w:val="left"/>
              <w:rPr/>
            </w:pPr>
            <w:r>
              <w:rPr>
                <w:spacing w:val="-1"/>
              </w:rPr>
              <w:t>Michael Dreyer</w:t>
            </w:r>
            <w:r>
              <w:rPr/>
              <w:t xml:space="preserve"> </w:t>
            </w:r>
            <w:r>
              <mc:AlternateContent>
                <mc:Choice Requires="wps">
                  <w:drawing>
                    <wp:anchor behindDoc="0" distT="50800" distB="0" distL="0" distR="0" simplePos="0" locked="0" layoutInCell="1" allowOverlap="1" relativeHeight="303">
                      <wp:simplePos x="0" y="0"/>
                      <wp:positionH relativeFrom="column">
                        <wp:align>left</wp:align>
                      </wp:positionH>
                      <wp:positionV relativeFrom="line">
                        <wp:align>top</wp:align>
                      </wp:positionV>
                      <wp:extent cx="114300" cy="350520"/>
                      <wp:effectExtent l="0" t="0" r="0" b="0"/>
                      <wp:wrapSquare wrapText="right"/>
                      <wp:docPr id="266" name="Frame8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20" w:after="0"/>
              <w:ind w:left="180" w:right="0" w:hanging="0"/>
              <w:jc w:val="left"/>
              <w:rPr/>
            </w:pPr>
            <w:r>
              <w:rPr>
                <w:spacing w:val="-1"/>
              </w:rPr>
              <w:t>Patricia Hatter</w:t>
            </w:r>
            <w:r>
              <w:rPr/>
              <w:t xml:space="preserve"> </w:t>
            </w:r>
            <w:r>
              <mc:AlternateContent>
                <mc:Choice Requires="wps">
                  <w:drawing>
                    <wp:anchor behindDoc="0" distT="76200" distB="0" distL="0" distR="0" simplePos="0" locked="0" layoutInCell="1" allowOverlap="1" relativeHeight="304">
                      <wp:simplePos x="0" y="0"/>
                      <wp:positionH relativeFrom="column">
                        <wp:align>left</wp:align>
                      </wp:positionH>
                      <wp:positionV relativeFrom="line">
                        <wp:align>top</wp:align>
                      </wp:positionV>
                      <wp:extent cx="114300" cy="350520"/>
                      <wp:effectExtent l="0" t="0" r="0" b="0"/>
                      <wp:wrapSquare wrapText="right"/>
                      <wp:docPr id="267" name="Frame8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20" w:after="0"/>
              <w:ind w:left="180" w:right="0" w:hanging="0"/>
              <w:jc w:val="left"/>
              <w:rPr/>
            </w:pPr>
            <w:r>
              <w:rPr>
                <w:spacing w:val="-1"/>
              </w:rPr>
              <w:t>Lisa Neal-Graves</w:t>
            </w:r>
            <w:r>
              <w:rPr/>
              <w:t xml:space="preserve"> </w:t>
            </w:r>
            <w:r>
              <mc:AlternateContent>
                <mc:Choice Requires="wps">
                  <w:drawing>
                    <wp:anchor behindDoc="0" distT="76200" distB="0" distL="0" distR="0" simplePos="0" locked="0" layoutInCell="1" allowOverlap="1" relativeHeight="305">
                      <wp:simplePos x="0" y="0"/>
                      <wp:positionH relativeFrom="column">
                        <wp:align>left</wp:align>
                      </wp:positionH>
                      <wp:positionV relativeFrom="line">
                        <wp:align>top</wp:align>
                      </wp:positionV>
                      <wp:extent cx="114300" cy="350520"/>
                      <wp:effectExtent l="0" t="0" r="0" b="0"/>
                      <wp:wrapSquare wrapText="right"/>
                      <wp:docPr id="268" name="Frame8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20" w:after="0"/>
              <w:ind w:left="180" w:right="0" w:hanging="0"/>
              <w:jc w:val="left"/>
              <w:rPr>
                <w:spacing w:val="-1"/>
              </w:rPr>
            </w:pPr>
            <w:r>
              <w:rPr>
                <w:spacing w:val="-1"/>
              </w:rPr>
              <w:t xml:space="preserve">Stephen Skaggs </w:t>
            </w:r>
            <w:r>
              <mc:AlternateContent>
                <mc:Choice Requires="wps">
                  <w:drawing>
                    <wp:anchor behindDoc="0" distT="76200" distB="0" distL="0" distR="0" simplePos="0" locked="0" layoutInCell="1" allowOverlap="1" relativeHeight="306">
                      <wp:simplePos x="0" y="0"/>
                      <wp:positionH relativeFrom="column">
                        <wp:align>left</wp:align>
                      </wp:positionH>
                      <wp:positionV relativeFrom="line">
                        <wp:align>top</wp:align>
                      </wp:positionV>
                      <wp:extent cx="114300" cy="350520"/>
                      <wp:effectExtent l="0" t="0" r="0" b="0"/>
                      <wp:wrapSquare wrapText="right"/>
                      <wp:docPr id="269" name="Frame8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28" w:type="dxa"/>
            <w:vMerge w:val="restart"/>
            <w:tcBorders/>
            <w:tcMar>
              <w:bottom w:w="0" w:type="dxa"/>
            </w:tcMar>
            <w:vAlign w:val="center"/>
          </w:tcPr>
          <w:p>
            <w:pPr>
              <w:pStyle w:val="TableContents"/>
              <w:bidi w:val="0"/>
              <w:spacing w:before="0" w:after="283"/>
              <w:jc w:val="left"/>
              <w:rPr/>
            </w:pPr>
            <w:r>
              <w:rPr/>
              <w:t>​</w:t>
            </w:r>
          </w:p>
        </w:tc>
        <w:tc>
          <w:tcPr>
            <w:tcW w:w="128" w:type="dxa"/>
            <w:tcBorders>
              <w:bottom w:val="single" w:sz="8" w:space="0" w:color="000000"/>
            </w:tcBorders>
            <w:shd w:fill="F2F2F2" w:val="clear"/>
            <w:vAlign w:val="center"/>
          </w:tcPr>
          <w:p>
            <w:pPr>
              <w:pStyle w:val="TableContents"/>
              <w:bidi w:val="0"/>
              <w:spacing w:before="0" w:after="283"/>
              <w:jc w:val="left"/>
              <w:rPr/>
            </w:pPr>
            <w:r>
              <w:rPr/>
              <w:t>​</w:t>
            </w:r>
          </w:p>
        </w:tc>
        <w:tc>
          <w:tcPr>
            <w:tcW w:w="6787" w:type="dxa"/>
            <w:gridSpan w:val="4"/>
            <w:tcBorders>
              <w:bottom w:val="single" w:sz="8" w:space="0" w:color="000000"/>
            </w:tcBorders>
            <w:shd w:fill="F2F2F2" w:val="clear"/>
            <w:tcMar>
              <w:bottom w:w="68" w:type="dxa"/>
            </w:tcMar>
            <w:vAlign w:val="center"/>
          </w:tcPr>
          <w:p>
            <w:pPr>
              <w:pStyle w:val="TableContents"/>
              <w:bidi w:val="0"/>
              <w:spacing w:lineRule="atLeast" w:line="220" w:before="0" w:after="0"/>
              <w:jc w:val="left"/>
              <w:rPr>
                <w:b/>
              </w:rPr>
            </w:pPr>
            <w:r>
              <w:rPr>
                <w:b/>
                <w:spacing w:val="0"/>
              </w:rPr>
              <w:t>The Committee develops Coherent’s corporate governance policies, oversees matters of Board composition and refreshment, and provides guidance on sustainability goals.</w:t>
            </w:r>
            <w:r>
              <w:rPr>
                <w:b/>
              </w:rPr>
              <w:t xml:space="preserve"> </w:t>
            </w:r>
          </w:p>
        </w:tc>
        <w:tc>
          <w:tcPr>
            <w:tcW w:w="157" w:type="dxa"/>
            <w:tcBorders>
              <w:bottom w:val="single" w:sz="8" w:space="0" w:color="000000"/>
            </w:tcBorders>
            <w:shd w:fill="F2F2F2" w:val="cle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948" w:type="dxa"/>
            <w:vMerge w:val="continue"/>
            <w:tcBorders/>
            <w:tcMar>
              <w:bottom w:w="0" w:type="dxa"/>
            </w:tcMar>
            <w:vAlign w:val="center"/>
          </w:tcPr>
          <w:p>
            <w:pPr>
              <w:pStyle w:val="Normal"/>
              <w:bidi w:val="0"/>
              <w:jc w:val="left"/>
              <w:rPr/>
            </w:pPr>
            <w:r>
              <w:rPr/>
            </w:r>
          </w:p>
        </w:tc>
        <w:tc>
          <w:tcPr>
            <w:tcW w:w="128" w:type="dxa"/>
            <w:vMerge w:val="continue"/>
            <w:tcBorders/>
            <w:tcMar>
              <w:bottom w:w="0" w:type="dxa"/>
            </w:tcMar>
            <w:vAlign w:val="center"/>
          </w:tcPr>
          <w:p>
            <w:pPr>
              <w:pStyle w:val="Normal"/>
              <w:bidi w:val="0"/>
              <w:jc w:val="left"/>
              <w:rPr/>
            </w:pPr>
            <w:r>
              <w:rPr/>
            </w:r>
          </w:p>
        </w:tc>
        <w:tc>
          <w:tcPr>
            <w:tcW w:w="128" w:type="dxa"/>
            <w:tcBorders/>
            <w:tcMar>
              <w:bottom w:w="0" w:type="dxa"/>
            </w:tcMar>
            <w:vAlign w:val="center"/>
          </w:tcPr>
          <w:p>
            <w:pPr>
              <w:pStyle w:val="TableContents"/>
              <w:bidi w:val="0"/>
              <w:spacing w:before="0" w:after="283"/>
              <w:jc w:val="left"/>
              <w:rPr/>
            </w:pPr>
            <w:r>
              <w:rPr/>
              <w:t>​</w:t>
            </w:r>
          </w:p>
        </w:tc>
        <w:tc>
          <w:tcPr>
            <w:tcW w:w="6787" w:type="dxa"/>
            <w:gridSpan w:val="4"/>
            <w:tcBorders/>
            <w:tcMar>
              <w:bottom w:w="0" w:type="dxa"/>
            </w:tcMar>
            <w:vAlign w:val="center"/>
          </w:tcPr>
          <w:p>
            <w:pPr>
              <w:pStyle w:val="TableContents"/>
              <w:bidi w:val="0"/>
              <w:spacing w:lineRule="atLeast" w:line="210" w:before="0" w:after="0"/>
              <w:jc w:val="left"/>
              <w:rPr>
                <w:b/>
                <w:color w:val="0068C7"/>
                <w:sz w:val="17"/>
              </w:rPr>
            </w:pPr>
            <w:r>
              <w:rPr>
                <w:b/>
                <w:color w:val="0068C7"/>
                <w:spacing w:val="-2"/>
                <w:sz w:val="17"/>
              </w:rPr>
              <w:t>KEY RESPONSIBILITIES</w:t>
            </w:r>
            <w:r>
              <w:rPr>
                <w:b/>
                <w:color w:val="0068C7"/>
                <w:sz w:val="17"/>
              </w:rPr>
              <w:t xml:space="preserve"> </w:t>
            </w:r>
          </w:p>
          <w:p>
            <w:pPr>
              <w:pStyle w:val="TableContents"/>
              <w:bidi w:val="0"/>
              <w:spacing w:lineRule="atLeast" w:line="220" w:before="120" w:after="0"/>
              <w:ind w:left="180" w:right="0" w:hanging="0"/>
              <w:jc w:val="left"/>
              <w:rPr/>
            </w:pPr>
            <w:r>
              <w:rPr>
                <w:spacing w:val="-1"/>
              </w:rPr>
              <w:t>Oversees the Company’s corporate governance policies and practices to ensure that it aligns with the Company’s overall business strategy</w:t>
            </w:r>
            <w:r>
              <w:rPr/>
              <w:t xml:space="preserve"> </w:t>
            </w:r>
            <w:r>
              <mc:AlternateContent>
                <mc:Choice Requires="wps">
                  <w:drawing>
                    <wp:anchor behindDoc="0" distT="76200" distB="0" distL="0" distR="0" simplePos="0" locked="0" layoutInCell="1" allowOverlap="1" relativeHeight="307">
                      <wp:simplePos x="0" y="0"/>
                      <wp:positionH relativeFrom="column">
                        <wp:align>left</wp:align>
                      </wp:positionH>
                      <wp:positionV relativeFrom="line">
                        <wp:align>top</wp:align>
                      </wp:positionV>
                      <wp:extent cx="114300" cy="350520"/>
                      <wp:effectExtent l="0" t="0" r="0" b="0"/>
                      <wp:wrapSquare wrapText="right"/>
                      <wp:docPr id="270" name="Frame8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180" w:right="0" w:hanging="0"/>
              <w:jc w:val="left"/>
              <w:rPr/>
            </w:pPr>
            <w:r>
              <w:rPr>
                <w:spacing w:val="-1"/>
              </w:rPr>
              <w:t>Oversees the Company’s engagement with external stakeholders on corporate governance matters</w:t>
            </w:r>
            <w:r>
              <w:rPr/>
              <w:t xml:space="preserve"> </w:t>
            </w:r>
            <w:r>
              <mc:AlternateContent>
                <mc:Choice Requires="wps">
                  <w:drawing>
                    <wp:anchor behindDoc="0" distT="76200" distB="0" distL="0" distR="0" simplePos="0" locked="0" layoutInCell="1" allowOverlap="1" relativeHeight="308">
                      <wp:simplePos x="0" y="0"/>
                      <wp:positionH relativeFrom="column">
                        <wp:align>left</wp:align>
                      </wp:positionH>
                      <wp:positionV relativeFrom="line">
                        <wp:align>top</wp:align>
                      </wp:positionV>
                      <wp:extent cx="114300" cy="350520"/>
                      <wp:effectExtent l="0" t="0" r="0" b="0"/>
                      <wp:wrapSquare wrapText="right"/>
                      <wp:docPr id="271" name="Frame8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180" w:right="0" w:hanging="0"/>
              <w:jc w:val="left"/>
              <w:rPr/>
            </w:pPr>
            <w:r>
              <w:rPr>
                <w:spacing w:val="-1"/>
              </w:rPr>
              <w:t>Makes recommendations to the Board regarding the selection and approval of the nominees for director to be submitted to a shareholder vote</w:t>
            </w:r>
            <w:r>
              <w:rPr/>
              <w:t xml:space="preserve"> </w:t>
            </w:r>
            <w:r>
              <mc:AlternateContent>
                <mc:Choice Requires="wps">
                  <w:drawing>
                    <wp:anchor behindDoc="0" distT="76200" distB="0" distL="0" distR="0" simplePos="0" locked="0" layoutInCell="1" allowOverlap="1" relativeHeight="309">
                      <wp:simplePos x="0" y="0"/>
                      <wp:positionH relativeFrom="column">
                        <wp:align>left</wp:align>
                      </wp:positionH>
                      <wp:positionV relativeFrom="line">
                        <wp:align>top</wp:align>
                      </wp:positionV>
                      <wp:extent cx="114300" cy="350520"/>
                      <wp:effectExtent l="0" t="0" r="0" b="0"/>
                      <wp:wrapSquare wrapText="right"/>
                      <wp:docPr id="272" name="Frame8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180" w:right="0" w:hanging="0"/>
              <w:jc w:val="left"/>
              <w:rPr/>
            </w:pPr>
            <w:r>
              <w:rPr>
                <w:spacing w:val="-1"/>
              </w:rPr>
              <w:t>In coordination with the Compensation and Human Capital Committee, assesses the adequacy of succession planning for management of the Company</w:t>
            </w:r>
            <w:r>
              <w:rPr/>
              <w:t xml:space="preserve"> </w:t>
            </w:r>
            <w:r>
              <mc:AlternateContent>
                <mc:Choice Requires="wps">
                  <w:drawing>
                    <wp:anchor behindDoc="0" distT="76200" distB="0" distL="0" distR="0" simplePos="0" locked="0" layoutInCell="1" allowOverlap="1" relativeHeight="310">
                      <wp:simplePos x="0" y="0"/>
                      <wp:positionH relativeFrom="column">
                        <wp:align>left</wp:align>
                      </wp:positionH>
                      <wp:positionV relativeFrom="line">
                        <wp:align>top</wp:align>
                      </wp:positionV>
                      <wp:extent cx="114300" cy="350520"/>
                      <wp:effectExtent l="0" t="0" r="0" b="0"/>
                      <wp:wrapSquare wrapText="right"/>
                      <wp:docPr id="273" name="Frame8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20" w:after="0"/>
              <w:ind w:left="180" w:right="0" w:hanging="0"/>
              <w:jc w:val="left"/>
              <w:rPr/>
            </w:pPr>
            <w:r>
              <w:rPr>
                <w:spacing w:val="-1"/>
              </w:rPr>
              <w:t>Facilitates annual self-evaluations of the Board and the Board committees</w:t>
            </w:r>
            <w:r>
              <w:rPr/>
              <w:t xml:space="preserve"> </w:t>
            </w:r>
            <w:r>
              <mc:AlternateContent>
                <mc:Choice Requires="wps">
                  <w:drawing>
                    <wp:anchor behindDoc="0" distT="76200" distB="0" distL="0" distR="0" simplePos="0" locked="0" layoutInCell="1" allowOverlap="1" relativeHeight="311">
                      <wp:simplePos x="0" y="0"/>
                      <wp:positionH relativeFrom="column">
                        <wp:align>left</wp:align>
                      </wp:positionH>
                      <wp:positionV relativeFrom="line">
                        <wp:align>top</wp:align>
                      </wp:positionV>
                      <wp:extent cx="114300" cy="350520"/>
                      <wp:effectExtent l="0" t="0" r="0" b="0"/>
                      <wp:wrapSquare wrapText="right"/>
                      <wp:docPr id="274" name="Frame8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180" w:right="0" w:hanging="0"/>
              <w:jc w:val="left"/>
              <w:rPr/>
            </w:pPr>
            <w:r>
              <w:rPr>
                <w:spacing w:val="-1"/>
              </w:rPr>
              <w:t>Oversee the Company’s ethical culture and sustainability vision, management’s systems to assure occupational and environmental health and safety, and its environmental, social and governance goals</w:t>
            </w:r>
            <w:r>
              <w:rPr/>
              <w:t xml:space="preserve"> </w:t>
            </w:r>
            <w:r>
              <mc:AlternateContent>
                <mc:Choice Requires="wps">
                  <w:drawing>
                    <wp:anchor behindDoc="0" distT="76200" distB="0" distL="0" distR="0" simplePos="0" locked="0" layoutInCell="1" allowOverlap="1" relativeHeight="312">
                      <wp:simplePos x="0" y="0"/>
                      <wp:positionH relativeFrom="column">
                        <wp:align>left</wp:align>
                      </wp:positionH>
                      <wp:positionV relativeFrom="line">
                        <wp:align>top</wp:align>
                      </wp:positionV>
                      <wp:extent cx="114300" cy="350520"/>
                      <wp:effectExtent l="0" t="0" r="0" b="0"/>
                      <wp:wrapSquare wrapText="right"/>
                      <wp:docPr id="275" name="Frame9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180" w:right="0" w:hanging="0"/>
              <w:jc w:val="left"/>
              <w:rPr/>
            </w:pPr>
            <w:r>
              <w:rPr>
                <w:spacing w:val="-1"/>
              </w:rPr>
              <w:t>Oversees the systems, policies, controls, and procedures to identify, mitigate, manage and disclose risks and incidents related to cybersecurity</w:t>
            </w:r>
            <w:r>
              <w:rPr/>
              <w:t xml:space="preserve"> </w:t>
            </w:r>
            <w:r>
              <mc:AlternateContent>
                <mc:Choice Requires="wps">
                  <w:drawing>
                    <wp:anchor behindDoc="0" distT="76200" distB="0" distL="0" distR="0" simplePos="0" locked="0" layoutInCell="1" allowOverlap="1" relativeHeight="313">
                      <wp:simplePos x="0" y="0"/>
                      <wp:positionH relativeFrom="column">
                        <wp:align>left</wp:align>
                      </wp:positionH>
                      <wp:positionV relativeFrom="line">
                        <wp:align>top</wp:align>
                      </wp:positionV>
                      <wp:extent cx="114300" cy="350520"/>
                      <wp:effectExtent l="0" t="0" r="0" b="0"/>
                      <wp:wrapSquare wrapText="right"/>
                      <wp:docPr id="276" name="Frame9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23</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1" w:name="tDIAC"/>
      <w:bookmarkEnd w:id="1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640" w:before="120" w:after="283"/>
        <w:ind w:left="893" w:right="40" w:hanging="0"/>
        <w:jc w:val="left"/>
        <w:rPr>
          <w:rFonts w:ascii="Tahoma;Geneva;sans-serif" w:hAnsi="Tahoma;Geneva;sans-serif"/>
          <w:b/>
          <w:i w:val="false"/>
          <w:caps w:val="false"/>
          <w:smallCaps w:val="false"/>
          <w:color w:val="0068C7"/>
          <w:sz w:val="60"/>
          <w:shd w:fill="FFFFFF" w:val="clear"/>
        </w:rPr>
      </w:pPr>
      <w:r>
        <w:rPr>
          <w:rFonts w:ascii="Tahoma;Geneva;sans-serif" w:hAnsi="Tahoma;Geneva;sans-serif"/>
          <w:b/>
          <w:i w:val="false"/>
          <w:caps w:val="false"/>
          <w:smallCaps w:val="false"/>
          <w:color w:val="0068C7"/>
          <w:sz w:val="60"/>
          <w:shd w:fill="FFFFFF" w:val="clear"/>
        </w:rPr>
        <w:t>DIRECTOR INDEPENDENCE AND CORPORATE GOVERNANCE POLICIES</w:t>
      </w:r>
      <w:r>
        <w:rPr>
          <w:rFonts w:ascii="Tahoma;Geneva;sans-serif" w:hAnsi="Tahoma;Geneva;sans-serif"/>
          <w:b/>
          <w:i w:val="false"/>
          <w:caps w:val="false"/>
          <w:smallCaps w:val="false"/>
          <w:color w:val="000000"/>
          <w:spacing w:val="12"/>
          <w:sz w:val="6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Company’s Common Stock is listed on the New York Stock Exchange (the “NYSE”). The rules of the NYSE require that a majority of the Company’s Board be Independent Directors (as defined in the NYSE’s rules). Our Corporate Governance Guidelines further provide that a substantial majority of the members of the Company’s Board must qualify as independent. The Board has determined that all of the continuing directors or nominees for election as director are independent within the meaning of the NYSE’s rules, other than Mr. Anderson. In its annual review of director independence, the Board considers all commercial, banking, consulting, legal, accounting, or other business relationships any director may have with the Company to determine whether any director has a material relationship with the Company. The Board considers a “material relationship” to be one that impairs or inhibits, or has the potential to impair or inhibit, a director’s exercise of critical and disinterested judgment on behalf of the Company. When assessing the “materiality” of a director’s relationship with the Company, the Board considers all relevant facts and circumstances, from both the standpoint of the director in his or her individual capacity, and from the standpoint of the director’s family and other affiliations. In addition, the NCG Committee facilitates annual self-evaluations of the Board, the Audit and Risk Committee, the Compensation and Human Capital Committee, and the NCG Committee in order to determine whether the Board and such Committees are functioning effectively. The Company is in compliance with all applicable governance requirements of the NYSE.</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640" w:before="470" w:after="283"/>
        <w:jc w:val="left"/>
        <w:rPr>
          <w:rFonts w:ascii="Tahoma;Geneva;sans-serif" w:hAnsi="Tahoma;Geneva;sans-serif"/>
          <w:b/>
          <w:i w:val="false"/>
          <w:caps w:val="false"/>
          <w:smallCaps w:val="false"/>
          <w:color w:val="0068C7"/>
          <w:sz w:val="60"/>
          <w:shd w:fill="FFFFFF" w:val="clear"/>
        </w:rPr>
      </w:pPr>
      <w:r>
        <w:rPr>
          <w:rFonts w:ascii="Tahoma;Geneva;sans-serif" w:hAnsi="Tahoma;Geneva;sans-serif"/>
          <w:b/>
          <w:i w:val="false"/>
          <w:caps w:val="false"/>
          <w:smallCaps w:val="false"/>
          <w:color w:val="0068C7"/>
          <w:sz w:val="60"/>
          <w:shd w:fill="FFFFFF" w:val="clear"/>
        </w:rPr>
        <w:t>SHAREHOLDER ENGAGEMENT</w:t>
      </w:r>
      <w:r>
        <w:rPr>
          <w:rFonts w:ascii="Tahoma;Geneva;sans-serif" w:hAnsi="Tahoma;Geneva;sans-serif"/>
          <w:b/>
          <w:i w:val="false"/>
          <w:caps w:val="false"/>
          <w:smallCaps w:val="false"/>
          <w:color w:val="000000"/>
          <w:spacing w:val="12"/>
          <w:sz w:val="6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Coherent Board values transparent and ongoing engagement with our shareholders and has maintained a long-standing practice of robust shareholder engagement to ensure investor priorities and perspectives are directly communicated to the Board. Throughout the course of the year, we stay connected with shareholders through discussions on a wide variety of business topics, including strategy, executive compensation, leadership development, succession planning and sustainability. We believe our engagements with shareholders have been constructive and have provided management and the Board with insights into issues and initiatives that are important to our shareholders.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We communicate with our shareholders through a variety of means, including direct interface, investor presentations, investor conferences, analyst meetings, one-on-one meetings, our website and publications that we issue. We also initiate formal outreach efforts prior to our annual meeting of shareholders. Through that process, we contact shareholders and invite them to engage in discussions on a variety of topics, including our Proxy Statement disclosures.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640" w:before="470" w:after="283"/>
        <w:jc w:val="left"/>
        <w:rPr>
          <w:rFonts w:ascii="Tahoma;Geneva;sans-serif" w:hAnsi="Tahoma;Geneva;sans-serif"/>
          <w:b/>
          <w:i w:val="false"/>
          <w:caps w:val="false"/>
          <w:smallCaps w:val="false"/>
          <w:color w:val="0068C7"/>
          <w:sz w:val="60"/>
          <w:shd w:fill="FFFFFF" w:val="clear"/>
        </w:rPr>
      </w:pPr>
      <w:r>
        <w:rPr>
          <w:rFonts w:ascii="Tahoma;Geneva;sans-serif" w:hAnsi="Tahoma;Geneva;sans-serif"/>
          <w:b/>
          <w:i w:val="false"/>
          <w:caps w:val="false"/>
          <w:smallCaps w:val="false"/>
          <w:color w:val="0068C7"/>
          <w:sz w:val="60"/>
          <w:shd w:fill="FFFFFF" w:val="clear"/>
        </w:rPr>
        <w:t>RISK MANAGEMENT AND MITIGATION</w:t>
      </w:r>
      <w:r>
        <w:rPr>
          <w:rFonts w:ascii="Tahoma;Geneva;sans-serif" w:hAnsi="Tahoma;Geneva;sans-serif"/>
          <w:b/>
          <w:i w:val="false"/>
          <w:caps w:val="false"/>
          <w:smallCaps w:val="false"/>
          <w:color w:val="000000"/>
          <w:spacing w:val="12"/>
          <w:sz w:val="6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Board is responsible for risk management oversight, including our Enterprise Risk Management (“ERM”) program. The Board has delegated primary oversight of key risk areas to each of the Board Committees as described below.</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Our ERM program is designed to facilitate the identification, assessment, management, and monitoring of material risks the Company may face over the short term and long term and provide regular communication with our Board and its committees regarding these risks. Key risks are raised by management to the Audit and Risk Committee. At least annually, our Vice President of Internal Audit reports to the Audit and Risk Committee on our enterprise risk assessment. Our Board consults with outside advisors and members of management to help monitor trends, identify potential threats, and assess the Company’s risk environment. Risk areas identified in the ERM process help inform how we present the risks facing the Company in the “Risk Factors” section of our fiscal year 2026 Annual Report on Form 10-K, which is also reviewed by the Audit and Risk Committee.</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24</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tbl>
      <w:tblPr>
        <w:tblW w:w="9272" w:type="dxa"/>
        <w:jc w:val="left"/>
        <w:tblInd w:w="893" w:type="dxa"/>
        <w:tblLayout w:type="fixed"/>
        <w:tblCellMar>
          <w:top w:w="0" w:type="dxa"/>
          <w:left w:w="0" w:type="dxa"/>
          <w:bottom w:w="28" w:type="dxa"/>
          <w:right w:w="0" w:type="dxa"/>
        </w:tblCellMar>
      </w:tblPr>
      <w:tblGrid>
        <w:gridCol w:w="124"/>
        <w:gridCol w:w="3245"/>
        <w:gridCol w:w="109"/>
        <w:gridCol w:w="109"/>
        <w:gridCol w:w="109"/>
        <w:gridCol w:w="2863"/>
        <w:gridCol w:w="109"/>
        <w:gridCol w:w="109"/>
        <w:gridCol w:w="109"/>
        <w:gridCol w:w="2230"/>
        <w:gridCol w:w="156"/>
      </w:tblGrid>
      <w:tr>
        <w:trPr/>
        <w:tc>
          <w:tcPr>
            <w:tcW w:w="124" w:type="dxa"/>
            <w:tcBorders>
              <w:bottom w:val="single" w:sz="2" w:space="0" w:color="666666"/>
            </w:tcBorders>
            <w:shd w:fill="0068C7" w:val="clear"/>
            <w:vAlign w:val="center"/>
          </w:tcPr>
          <w:p>
            <w:pPr>
              <w:pStyle w:val="TableContents"/>
              <w:bidi w:val="0"/>
              <w:spacing w:before="0" w:after="283"/>
              <w:jc w:val="left"/>
              <w:rPr/>
            </w:pPr>
            <w:r>
              <w:rPr/>
              <w:t>​</w:t>
            </w:r>
          </w:p>
        </w:tc>
        <w:tc>
          <w:tcPr>
            <w:tcW w:w="8992" w:type="dxa"/>
            <w:gridSpan w:val="9"/>
            <w:tcBorders>
              <w:bottom w:val="single" w:sz="2" w:space="0" w:color="666666"/>
            </w:tcBorders>
            <w:shd w:fill="0068C7" w:val="clear"/>
            <w:vAlign w:val="center"/>
          </w:tcPr>
          <w:p>
            <w:pPr>
              <w:pStyle w:val="TableContents"/>
              <w:bidi w:val="0"/>
              <w:spacing w:lineRule="atLeast" w:line="255" w:before="0" w:after="0"/>
              <w:jc w:val="center"/>
              <w:rPr/>
            </w:pPr>
            <w:r>
              <w:rPr>
                <w:spacing w:val="-2"/>
              </w:rPr>
              <w:t>BOARD OF DIRECTORS</w:t>
            </w:r>
            <w:r>
              <w:rPr/>
              <w:t xml:space="preserve"> </w:t>
            </w:r>
          </w:p>
        </w:tc>
        <w:tc>
          <w:tcPr>
            <w:tcW w:w="156" w:type="dxa"/>
            <w:tcBorders>
              <w:bottom w:val="single" w:sz="2" w:space="0" w:color="666666"/>
            </w:tcBorders>
            <w:shd w:fill="0068C7"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245" w:type="dxa"/>
            <w:tcBorders/>
            <w:tcMar>
              <w:bottom w:w="0" w:type="dxa"/>
            </w:tcMar>
            <w:vAlign w:val="center"/>
          </w:tcPr>
          <w:p>
            <w:pPr>
              <w:pStyle w:val="TableContents"/>
              <w:bidi w:val="0"/>
              <w:spacing w:before="0" w:after="283"/>
              <w:jc w:val="left"/>
              <w:rPr>
                <w:spacing w:val="0"/>
              </w:rPr>
            </w:pPr>
            <w:r>
              <w:rPr>
                <w:spacing w:val="0"/>
              </w:rPr>
              <w:t xml:space="preserve">Audit and Risk Committee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666666"/>
            </w:tcBorders>
            <w:shd w:fill="666666"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63" w:type="dxa"/>
            <w:tcBorders/>
            <w:tcMar>
              <w:bottom w:w="0" w:type="dxa"/>
            </w:tcMar>
            <w:vAlign w:val="center"/>
          </w:tcPr>
          <w:p>
            <w:pPr>
              <w:pStyle w:val="TableContents"/>
              <w:bidi w:val="0"/>
              <w:spacing w:before="0" w:after="283"/>
              <w:jc w:val="left"/>
              <w:rPr>
                <w:spacing w:val="0"/>
              </w:rPr>
            </w:pPr>
            <w:r>
              <w:rPr>
                <w:spacing w:val="0"/>
              </w:rPr>
              <w:t xml:space="preserve">Nominating and Corporate </w:t>
              <w:br/>
              <w:t xml:space="preserve">Governance Committee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666666"/>
            </w:tcBorders>
            <w:shd w:fill="666666"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283"/>
              <w:jc w:val="left"/>
              <w:rPr>
                <w:spacing w:val="0"/>
              </w:rPr>
            </w:pPr>
            <w:r>
              <w:rPr>
                <w:spacing w:val="0"/>
              </w:rPr>
              <w:t xml:space="preserve">Compensation and Human </w:t>
              <w:br/>
              <w:t xml:space="preserve">Capital Committee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3245" w:type="dxa"/>
            <w:tcBorders>
              <w:bottom w:val="single" w:sz="2" w:space="0" w:color="666666"/>
            </w:tcBorders>
            <w:tcMar>
              <w:bottom w:w="40" w:type="dxa"/>
            </w:tcMar>
            <w:vAlign w:val="center"/>
          </w:tcPr>
          <w:p>
            <w:pPr>
              <w:pStyle w:val="TableContents"/>
              <w:bidi w:val="0"/>
              <w:spacing w:lineRule="atLeast" w:line="255" w:before="0" w:after="0"/>
              <w:ind w:left="370" w:right="0" w:hanging="0"/>
              <w:jc w:val="left"/>
              <w:rPr/>
            </w:pPr>
            <w:r>
              <w:rPr>
                <w:spacing w:val="-1"/>
              </w:rPr>
              <w:t>Internal audit and internal controls</w:t>
            </w:r>
            <w:r>
              <w:rPr/>
              <w:t xml:space="preserve"> </w:t>
            </w:r>
            <w:r>
              <mc:AlternateContent>
                <mc:Choice Requires="wps">
                  <w:drawing>
                    <wp:anchor behindDoc="0" distT="0" distB="0" distL="117475" distR="0" simplePos="0" locked="0" layoutInCell="1" allowOverlap="1" relativeHeight="314">
                      <wp:simplePos x="0" y="0"/>
                      <wp:positionH relativeFrom="column">
                        <wp:align>left</wp:align>
                      </wp:positionH>
                      <wp:positionV relativeFrom="line">
                        <wp:posOffset>635</wp:posOffset>
                      </wp:positionV>
                      <wp:extent cx="117475" cy="350520"/>
                      <wp:effectExtent l="0" t="0" r="0" b="0"/>
                      <wp:wrapSquare wrapText="right"/>
                      <wp:docPr id="277" name="Frame92"/>
                      <a:graphic xmlns:a="http://schemas.openxmlformats.org/drawingml/2006/main">
                        <a:graphicData uri="http://schemas.microsoft.com/office/word/2010/wordprocessingShape">
                          <wps:wsp>
                            <wps:cNvSpPr txBox="1"/>
                            <wps:spPr>
                              <a:xfrm>
                                <a:off x="0" y="0"/>
                                <a:ext cx="117475"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25pt;height:27.6pt;mso-wrap-distance-left:9.25pt;mso-wrap-distance-right:0pt;mso-wrap-distance-top:0pt;mso-wrap-distance-bottom:0pt;margin-top:0pt;mso-position-vertical:top;mso-position-vertical-relative:text;margin-left:9.25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5" w:before="190" w:after="0"/>
              <w:ind w:left="370" w:right="0" w:hanging="0"/>
              <w:jc w:val="left"/>
              <w:rPr/>
            </w:pPr>
            <w:r>
              <w:rPr>
                <w:spacing w:val="-1"/>
              </w:rPr>
              <w:t>Enterprise Risk Management</w:t>
            </w:r>
            <w:r>
              <w:rPr/>
              <w:t xml:space="preserve"> </w:t>
            </w:r>
            <w:r>
              <mc:AlternateContent>
                <mc:Choice Requires="wps">
                  <w:drawing>
                    <wp:anchor behindDoc="0" distT="120650" distB="0" distL="117475" distR="0" simplePos="0" locked="0" layoutInCell="1" allowOverlap="1" relativeHeight="315">
                      <wp:simplePos x="0" y="0"/>
                      <wp:positionH relativeFrom="column">
                        <wp:align>left</wp:align>
                      </wp:positionH>
                      <wp:positionV relativeFrom="line">
                        <wp:align>top</wp:align>
                      </wp:positionV>
                      <wp:extent cx="117475" cy="350520"/>
                      <wp:effectExtent l="0" t="0" r="0" b="0"/>
                      <wp:wrapSquare wrapText="right"/>
                      <wp:docPr id="278" name="Frame93"/>
                      <a:graphic xmlns:a="http://schemas.openxmlformats.org/drawingml/2006/main">
                        <a:graphicData uri="http://schemas.microsoft.com/office/word/2010/wordprocessingShape">
                          <wps:wsp>
                            <wps:cNvSpPr txBox="1"/>
                            <wps:spPr>
                              <a:xfrm>
                                <a:off x="0" y="0"/>
                                <a:ext cx="117475" cy="350520"/>
                              </a:xfrm>
                              <a:prstGeom prst="rect"/>
                              <a:solidFill>
                                <a:srgbClr val="FFFFFF"/>
                              </a:solidFill>
                            </wps:spPr>
                            <wps:txbx>
                              <w:txbxContent>
                                <w:p>
                                  <w:pPr>
                                    <w:pStyle w:val="TextBody"/>
                                    <w:bidi w:val="0"/>
                                    <w:spacing w:lineRule="atLeast" w:line="18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25pt;height:27.6pt;mso-wrap-distance-left:9.25pt;mso-wrap-distance-right:0pt;mso-wrap-distance-top:9.5pt;mso-wrap-distance-bottom:0pt;margin-top:9.5pt;mso-position-vertical:top;mso-position-vertical-relative:text;margin-left:9.25pt;mso-position-horizontal:left;mso-position-horizontal-relative:text">
                      <v:textbox>
                        <w:txbxContent>
                          <w:p>
                            <w:pPr>
                              <w:pStyle w:val="TextBody"/>
                              <w:bidi w:val="0"/>
                              <w:spacing w:lineRule="atLeast" w:line="185"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55" w:before="190" w:after="0"/>
              <w:ind w:left="370" w:right="0" w:hanging="0"/>
              <w:jc w:val="left"/>
              <w:rPr>
                <w:spacing w:val="-1"/>
              </w:rPr>
            </w:pPr>
            <w:r>
              <w:rPr>
                <w:spacing w:val="-1"/>
              </w:rPr>
              <w:t xml:space="preserve">Legal and regulatory requirements, including the Ethics and Compliance program </w:t>
            </w:r>
            <w:r>
              <mc:AlternateContent>
                <mc:Choice Requires="wps">
                  <w:drawing>
                    <wp:anchor behindDoc="0" distT="120650" distB="0" distL="117475" distR="0" simplePos="0" locked="0" layoutInCell="1" allowOverlap="1" relativeHeight="316">
                      <wp:simplePos x="0" y="0"/>
                      <wp:positionH relativeFrom="column">
                        <wp:align>left</wp:align>
                      </wp:positionH>
                      <wp:positionV relativeFrom="line">
                        <wp:align>top</wp:align>
                      </wp:positionV>
                      <wp:extent cx="117475" cy="350520"/>
                      <wp:effectExtent l="0" t="0" r="0" b="0"/>
                      <wp:wrapSquare wrapText="right"/>
                      <wp:docPr id="279" name="Frame94"/>
                      <a:graphic xmlns:a="http://schemas.openxmlformats.org/drawingml/2006/main">
                        <a:graphicData uri="http://schemas.microsoft.com/office/word/2010/wordprocessingShape">
                          <wps:wsp>
                            <wps:cNvSpPr txBox="1"/>
                            <wps:spPr>
                              <a:xfrm>
                                <a:off x="0" y="0"/>
                                <a:ext cx="117475"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25pt;height:27.6pt;mso-wrap-distance-left:9.25pt;mso-wrap-distance-right:0pt;mso-wrap-distance-top:9.5pt;mso-wrap-distance-bottom:0pt;margin-top:9.5pt;mso-position-vertical:top;mso-position-vertical-relative:text;margin-left:9.25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shd w:fill="666666" w:val="clear"/>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2863" w:type="dxa"/>
            <w:tcBorders>
              <w:bottom w:val="single" w:sz="2" w:space="0" w:color="666666"/>
            </w:tcBorders>
            <w:tcMar>
              <w:bottom w:w="40" w:type="dxa"/>
            </w:tcMar>
            <w:vAlign w:val="center"/>
          </w:tcPr>
          <w:p>
            <w:pPr>
              <w:pStyle w:val="TableContents"/>
              <w:bidi w:val="0"/>
              <w:spacing w:lineRule="atLeast" w:line="255" w:before="0" w:after="0"/>
              <w:ind w:left="370" w:right="0" w:hanging="0"/>
              <w:jc w:val="left"/>
              <w:rPr/>
            </w:pPr>
            <w:r>
              <w:rPr>
                <w:spacing w:val="-1"/>
              </w:rPr>
              <w:t>Board and committee composition and Board leadership structure</w:t>
            </w:r>
            <w:r>
              <w:rPr/>
              <w:t xml:space="preserve"> </w:t>
            </w:r>
            <w:r>
              <mc:AlternateContent>
                <mc:Choice Requires="wps">
                  <w:drawing>
                    <wp:anchor behindDoc="0" distT="0" distB="0" distL="117475" distR="0" simplePos="0" locked="0" layoutInCell="1" allowOverlap="1" relativeHeight="317">
                      <wp:simplePos x="0" y="0"/>
                      <wp:positionH relativeFrom="column">
                        <wp:align>left</wp:align>
                      </wp:positionH>
                      <wp:positionV relativeFrom="line">
                        <wp:posOffset>635</wp:posOffset>
                      </wp:positionV>
                      <wp:extent cx="117475" cy="350520"/>
                      <wp:effectExtent l="0" t="0" r="0" b="0"/>
                      <wp:wrapSquare wrapText="right"/>
                      <wp:docPr id="280" name="Frame95"/>
                      <a:graphic xmlns:a="http://schemas.openxmlformats.org/drawingml/2006/main">
                        <a:graphicData uri="http://schemas.microsoft.com/office/word/2010/wordprocessingShape">
                          <wps:wsp>
                            <wps:cNvSpPr txBox="1"/>
                            <wps:spPr>
                              <a:xfrm>
                                <a:off x="0" y="0"/>
                                <a:ext cx="117475"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25pt;height:27.6pt;mso-wrap-distance-left:9.25pt;mso-wrap-distance-right:0pt;mso-wrap-distance-top:0pt;mso-wrap-distance-bottom:0pt;margin-top:0pt;mso-position-vertical:top;mso-position-vertical-relative:text;margin-left:9.25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5" w:before="190" w:after="0"/>
              <w:ind w:left="370" w:right="0" w:hanging="0"/>
              <w:jc w:val="left"/>
              <w:rPr/>
            </w:pPr>
            <w:r>
              <w:rPr>
                <w:spacing w:val="-1"/>
              </w:rPr>
              <w:t>Corporate governance policies</w:t>
            </w:r>
            <w:r>
              <w:rPr/>
              <w:t xml:space="preserve"> </w:t>
            </w:r>
            <w:r>
              <mc:AlternateContent>
                <mc:Choice Requires="wps">
                  <w:drawing>
                    <wp:anchor behindDoc="0" distT="120650" distB="0" distL="117475" distR="0" simplePos="0" locked="0" layoutInCell="1" allowOverlap="1" relativeHeight="318">
                      <wp:simplePos x="0" y="0"/>
                      <wp:positionH relativeFrom="column">
                        <wp:align>left</wp:align>
                      </wp:positionH>
                      <wp:positionV relativeFrom="line">
                        <wp:align>top</wp:align>
                      </wp:positionV>
                      <wp:extent cx="117475" cy="350520"/>
                      <wp:effectExtent l="0" t="0" r="0" b="0"/>
                      <wp:wrapSquare wrapText="right"/>
                      <wp:docPr id="281" name="Frame96"/>
                      <a:graphic xmlns:a="http://schemas.openxmlformats.org/drawingml/2006/main">
                        <a:graphicData uri="http://schemas.microsoft.com/office/word/2010/wordprocessingShape">
                          <wps:wsp>
                            <wps:cNvSpPr txBox="1"/>
                            <wps:spPr>
                              <a:xfrm>
                                <a:off x="0" y="0"/>
                                <a:ext cx="117475" cy="350520"/>
                              </a:xfrm>
                              <a:prstGeom prst="rect"/>
                              <a:solidFill>
                                <a:srgbClr val="FFFFFF"/>
                              </a:solidFill>
                            </wps:spPr>
                            <wps:txbx>
                              <w:txbxContent>
                                <w:p>
                                  <w:pPr>
                                    <w:pStyle w:val="TextBody"/>
                                    <w:bidi w:val="0"/>
                                    <w:spacing w:lineRule="atLeast" w:line="18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25pt;height:27.6pt;mso-wrap-distance-left:9.25pt;mso-wrap-distance-right:0pt;mso-wrap-distance-top:9.5pt;mso-wrap-distance-bottom:0pt;margin-top:9.5pt;mso-position-vertical:top;mso-position-vertical-relative:text;margin-left:9.25pt;mso-position-horizontal:left;mso-position-horizontal-relative:text">
                      <v:textbox>
                        <w:txbxContent>
                          <w:p>
                            <w:pPr>
                              <w:pStyle w:val="TextBody"/>
                              <w:bidi w:val="0"/>
                              <w:spacing w:lineRule="atLeast" w:line="185"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5" w:before="190" w:after="0"/>
              <w:ind w:left="370" w:right="0" w:hanging="0"/>
              <w:jc w:val="left"/>
              <w:rPr/>
            </w:pPr>
            <w:r>
              <w:rPr>
                <w:spacing w:val="-1"/>
              </w:rPr>
              <w:t>Cybersecurity</w:t>
            </w:r>
            <w:r>
              <w:rPr/>
              <w:t xml:space="preserve"> </w:t>
            </w:r>
            <w:r>
              <mc:AlternateContent>
                <mc:Choice Requires="wps">
                  <w:drawing>
                    <wp:anchor behindDoc="0" distT="120650" distB="0" distL="117475" distR="0" simplePos="0" locked="0" layoutInCell="1" allowOverlap="1" relativeHeight="319">
                      <wp:simplePos x="0" y="0"/>
                      <wp:positionH relativeFrom="column">
                        <wp:align>left</wp:align>
                      </wp:positionH>
                      <wp:positionV relativeFrom="line">
                        <wp:align>top</wp:align>
                      </wp:positionV>
                      <wp:extent cx="117475" cy="350520"/>
                      <wp:effectExtent l="0" t="0" r="0" b="0"/>
                      <wp:wrapSquare wrapText="right"/>
                      <wp:docPr id="282" name="Frame97"/>
                      <a:graphic xmlns:a="http://schemas.openxmlformats.org/drawingml/2006/main">
                        <a:graphicData uri="http://schemas.microsoft.com/office/word/2010/wordprocessingShape">
                          <wps:wsp>
                            <wps:cNvSpPr txBox="1"/>
                            <wps:spPr>
                              <a:xfrm>
                                <a:off x="0" y="0"/>
                                <a:ext cx="117475" cy="350520"/>
                              </a:xfrm>
                              <a:prstGeom prst="rect"/>
                              <a:solidFill>
                                <a:srgbClr val="FFFFFF"/>
                              </a:solidFill>
                            </wps:spPr>
                            <wps:txbx>
                              <w:txbxContent>
                                <w:p>
                                  <w:pPr>
                                    <w:pStyle w:val="TextBody"/>
                                    <w:bidi w:val="0"/>
                                    <w:spacing w:lineRule="atLeast" w:line="18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25pt;height:27.6pt;mso-wrap-distance-left:9.25pt;mso-wrap-distance-right:0pt;mso-wrap-distance-top:9.5pt;mso-wrap-distance-bottom:0pt;margin-top:9.5pt;mso-position-vertical:top;mso-position-vertical-relative:text;margin-left:9.25pt;mso-position-horizontal:left;mso-position-horizontal-relative:text">
                      <v:textbox>
                        <w:txbxContent>
                          <w:p>
                            <w:pPr>
                              <w:pStyle w:val="TextBody"/>
                              <w:bidi w:val="0"/>
                              <w:spacing w:lineRule="atLeast" w:line="185"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55" w:before="190" w:after="0"/>
              <w:ind w:left="370" w:right="0" w:hanging="0"/>
              <w:jc w:val="left"/>
              <w:rPr>
                <w:spacing w:val="-1"/>
              </w:rPr>
            </w:pPr>
            <w:r>
              <w:rPr>
                <w:spacing w:val="-1"/>
              </w:rPr>
              <w:t xml:space="preserve">Corporate responsibility programs and policies </w:t>
              <w:br/>
              <w:t xml:space="preserve">  </w:t>
            </w:r>
            <w:r>
              <mc:AlternateContent>
                <mc:Choice Requires="wps">
                  <w:drawing>
                    <wp:anchor behindDoc="0" distT="120650" distB="0" distL="117475" distR="0" simplePos="0" locked="0" layoutInCell="1" allowOverlap="1" relativeHeight="320">
                      <wp:simplePos x="0" y="0"/>
                      <wp:positionH relativeFrom="column">
                        <wp:align>left</wp:align>
                      </wp:positionH>
                      <wp:positionV relativeFrom="line">
                        <wp:align>top</wp:align>
                      </wp:positionV>
                      <wp:extent cx="117475" cy="350520"/>
                      <wp:effectExtent l="0" t="0" r="0" b="0"/>
                      <wp:wrapSquare wrapText="right"/>
                      <wp:docPr id="283" name="Frame98"/>
                      <a:graphic xmlns:a="http://schemas.openxmlformats.org/drawingml/2006/main">
                        <a:graphicData uri="http://schemas.microsoft.com/office/word/2010/wordprocessingShape">
                          <wps:wsp>
                            <wps:cNvSpPr txBox="1"/>
                            <wps:spPr>
                              <a:xfrm>
                                <a:off x="0" y="0"/>
                                <a:ext cx="117475"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25pt;height:27.6pt;mso-wrap-distance-left:9.25pt;mso-wrap-distance-right:0pt;mso-wrap-distance-top:9.5pt;mso-wrap-distance-bottom:0pt;margin-top:9.5pt;mso-position-vertical:top;mso-position-vertical-relative:text;margin-left:9.25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shd w:fill="666666" w:val="clear"/>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2230" w:type="dxa"/>
            <w:tcBorders>
              <w:bottom w:val="single" w:sz="2" w:space="0" w:color="666666"/>
            </w:tcBorders>
            <w:tcMar>
              <w:bottom w:w="40" w:type="dxa"/>
            </w:tcMar>
            <w:vAlign w:val="center"/>
          </w:tcPr>
          <w:p>
            <w:pPr>
              <w:pStyle w:val="TableContents"/>
              <w:bidi w:val="0"/>
              <w:spacing w:lineRule="atLeast" w:line="255" w:before="0" w:after="0"/>
              <w:ind w:left="370" w:right="0" w:hanging="0"/>
              <w:jc w:val="left"/>
              <w:rPr/>
            </w:pPr>
            <w:r>
              <w:rPr>
                <w:spacing w:val="-1"/>
              </w:rPr>
              <w:t>Compensation programs and practices</w:t>
            </w:r>
            <w:r>
              <w:rPr/>
              <w:t xml:space="preserve"> </w:t>
            </w:r>
            <w:r>
              <mc:AlternateContent>
                <mc:Choice Requires="wps">
                  <w:drawing>
                    <wp:anchor behindDoc="0" distT="0" distB="0" distL="117475" distR="0" simplePos="0" locked="0" layoutInCell="1" allowOverlap="1" relativeHeight="321">
                      <wp:simplePos x="0" y="0"/>
                      <wp:positionH relativeFrom="column">
                        <wp:align>left</wp:align>
                      </wp:positionH>
                      <wp:positionV relativeFrom="line">
                        <wp:posOffset>635</wp:posOffset>
                      </wp:positionV>
                      <wp:extent cx="117475" cy="350520"/>
                      <wp:effectExtent l="0" t="0" r="0" b="0"/>
                      <wp:wrapSquare wrapText="right"/>
                      <wp:docPr id="284" name="Frame99"/>
                      <a:graphic xmlns:a="http://schemas.openxmlformats.org/drawingml/2006/main">
                        <a:graphicData uri="http://schemas.microsoft.com/office/word/2010/wordprocessingShape">
                          <wps:wsp>
                            <wps:cNvSpPr txBox="1"/>
                            <wps:spPr>
                              <a:xfrm>
                                <a:off x="0" y="0"/>
                                <a:ext cx="117475"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25pt;height:27.6pt;mso-wrap-distance-left:9.25pt;mso-wrap-distance-right:0pt;mso-wrap-distance-top:0pt;mso-wrap-distance-bottom:0pt;margin-top:0pt;mso-position-vertical:top;mso-position-vertical-relative:text;margin-left:9.25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5" w:before="190" w:after="0"/>
              <w:ind w:left="370" w:right="0" w:hanging="0"/>
              <w:jc w:val="left"/>
              <w:rPr/>
            </w:pPr>
            <w:r>
              <w:rPr>
                <w:spacing w:val="-1"/>
              </w:rPr>
              <w:t>Equity and other incentive plans</w:t>
            </w:r>
            <w:r>
              <w:rPr/>
              <w:t xml:space="preserve"> </w:t>
            </w:r>
            <w:r>
              <mc:AlternateContent>
                <mc:Choice Requires="wps">
                  <w:drawing>
                    <wp:anchor behindDoc="0" distT="120650" distB="0" distL="117475" distR="0" simplePos="0" locked="0" layoutInCell="1" allowOverlap="1" relativeHeight="322">
                      <wp:simplePos x="0" y="0"/>
                      <wp:positionH relativeFrom="column">
                        <wp:align>left</wp:align>
                      </wp:positionH>
                      <wp:positionV relativeFrom="line">
                        <wp:align>top</wp:align>
                      </wp:positionV>
                      <wp:extent cx="117475" cy="350520"/>
                      <wp:effectExtent l="0" t="0" r="0" b="0"/>
                      <wp:wrapSquare wrapText="right"/>
                      <wp:docPr id="285" name="Frame100"/>
                      <a:graphic xmlns:a="http://schemas.openxmlformats.org/drawingml/2006/main">
                        <a:graphicData uri="http://schemas.microsoft.com/office/word/2010/wordprocessingShape">
                          <wps:wsp>
                            <wps:cNvSpPr txBox="1"/>
                            <wps:spPr>
                              <a:xfrm>
                                <a:off x="0" y="0"/>
                                <a:ext cx="117475" cy="350520"/>
                              </a:xfrm>
                              <a:prstGeom prst="rect"/>
                              <a:solidFill>
                                <a:srgbClr val="FFFFFF"/>
                              </a:solidFill>
                            </wps:spPr>
                            <wps:txbx>
                              <w:txbxContent>
                                <w:p>
                                  <w:pPr>
                                    <w:pStyle w:val="TextBody"/>
                                    <w:bidi w:val="0"/>
                                    <w:spacing w:lineRule="atLeast" w:line="18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25pt;height:27.6pt;mso-wrap-distance-left:9.25pt;mso-wrap-distance-right:0pt;mso-wrap-distance-top:9.5pt;mso-wrap-distance-bottom:0pt;margin-top:9.5pt;mso-position-vertical:top;mso-position-vertical-relative:text;margin-left:9.25pt;mso-position-horizontal:left;mso-position-horizontal-relative:text">
                      <v:textbox>
                        <w:txbxContent>
                          <w:p>
                            <w:pPr>
                              <w:pStyle w:val="TextBody"/>
                              <w:bidi w:val="0"/>
                              <w:spacing w:lineRule="atLeast" w:line="185"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55" w:before="190" w:after="0"/>
              <w:ind w:left="370" w:right="0" w:hanging="0"/>
              <w:jc w:val="left"/>
              <w:rPr>
                <w:spacing w:val="-1"/>
              </w:rPr>
            </w:pPr>
            <w:r>
              <w:rPr>
                <w:spacing w:val="-1"/>
              </w:rPr>
              <w:t xml:space="preserve">People programs, policies and practices </w:t>
            </w:r>
            <w:r>
              <mc:AlternateContent>
                <mc:Choice Requires="wps">
                  <w:drawing>
                    <wp:anchor behindDoc="0" distT="120650" distB="0" distL="117475" distR="0" simplePos="0" locked="0" layoutInCell="1" allowOverlap="1" relativeHeight="323">
                      <wp:simplePos x="0" y="0"/>
                      <wp:positionH relativeFrom="column">
                        <wp:align>left</wp:align>
                      </wp:positionH>
                      <wp:positionV relativeFrom="line">
                        <wp:align>top</wp:align>
                      </wp:positionV>
                      <wp:extent cx="117475" cy="350520"/>
                      <wp:effectExtent l="0" t="0" r="0" b="0"/>
                      <wp:wrapSquare wrapText="right"/>
                      <wp:docPr id="286" name="Frame101"/>
                      <a:graphic xmlns:a="http://schemas.openxmlformats.org/drawingml/2006/main">
                        <a:graphicData uri="http://schemas.microsoft.com/office/word/2010/wordprocessingShape">
                          <wps:wsp>
                            <wps:cNvSpPr txBox="1"/>
                            <wps:spPr>
                              <a:xfrm>
                                <a:off x="0" y="0"/>
                                <a:ext cx="117475"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25pt;height:27.6pt;mso-wrap-distance-left:9.25pt;mso-wrap-distance-right:0pt;mso-wrap-distance-top:9.5pt;mso-wrap-distance-bottom:0pt;margin-top:9.5pt;mso-position-vertical:top;mso-position-vertical-relative:text;margin-left:9.25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shd w:fill="0068C7" w:val="clear"/>
            <w:vAlign w:val="center"/>
          </w:tcPr>
          <w:p>
            <w:pPr>
              <w:pStyle w:val="TableContents"/>
              <w:bidi w:val="0"/>
              <w:spacing w:before="0" w:after="283"/>
              <w:jc w:val="left"/>
              <w:rPr/>
            </w:pPr>
            <w:r>
              <w:rPr/>
              <w:t>​</w:t>
            </w:r>
          </w:p>
        </w:tc>
        <w:tc>
          <w:tcPr>
            <w:tcW w:w="8992" w:type="dxa"/>
            <w:gridSpan w:val="9"/>
            <w:tcBorders>
              <w:bottom w:val="single" w:sz="2" w:space="0" w:color="666666"/>
            </w:tcBorders>
            <w:shd w:fill="0068C7" w:val="clear"/>
            <w:vAlign w:val="center"/>
          </w:tcPr>
          <w:p>
            <w:pPr>
              <w:pStyle w:val="TableContents"/>
              <w:bidi w:val="0"/>
              <w:spacing w:lineRule="atLeast" w:line="255" w:before="0" w:after="0"/>
              <w:jc w:val="center"/>
              <w:rPr/>
            </w:pPr>
            <w:r>
              <w:rPr>
                <w:spacing w:val="-2"/>
              </w:rPr>
              <w:t>MANAGEMENT</w:t>
            </w:r>
            <w:r>
              <w:rPr/>
              <w:t xml:space="preserve"> </w:t>
            </w:r>
          </w:p>
        </w:tc>
        <w:tc>
          <w:tcPr>
            <w:tcW w:w="156" w:type="dxa"/>
            <w:tcBorders>
              <w:bottom w:val="single" w:sz="2" w:space="0" w:color="666666"/>
            </w:tcBorders>
            <w:shd w:fill="0068C7" w:val="clear"/>
            <w:vAlign w:val="center"/>
          </w:tcPr>
          <w:p>
            <w:pPr>
              <w:pStyle w:val="TableContents"/>
              <w:bidi w:val="0"/>
              <w:spacing w:before="0" w:after="283"/>
              <w:jc w:val="left"/>
              <w:rPr/>
            </w:pPr>
            <w:r>
              <w:rPr/>
              <w:t>​</w:t>
            </w:r>
          </w:p>
        </w:tc>
      </w:tr>
    </w:tbl>
    <w:p>
      <w:pPr>
        <w:pStyle w:val="TextBody"/>
        <w:bidi w:val="0"/>
        <w:spacing w:lineRule="atLeast" w:line="640" w:before="404" w:after="283"/>
        <w:ind w:left="893" w:right="40" w:hanging="0"/>
        <w:jc w:val="left"/>
        <w:rPr>
          <w:rFonts w:ascii="Tahoma;Geneva;sans-serif" w:hAnsi="Tahoma;Geneva;sans-serif"/>
          <w:b/>
          <w:i w:val="false"/>
          <w:caps w:val="false"/>
          <w:smallCaps w:val="false"/>
          <w:color w:val="0068C7"/>
          <w:sz w:val="60"/>
          <w:shd w:fill="FFFFFF" w:val="clear"/>
        </w:rPr>
      </w:pPr>
      <w:r>
        <w:rPr>
          <w:rFonts w:ascii="Tahoma;Geneva;sans-serif" w:hAnsi="Tahoma;Geneva;sans-serif"/>
          <w:b/>
          <w:i w:val="false"/>
          <w:caps w:val="false"/>
          <w:smallCaps w:val="false"/>
          <w:color w:val="0068C7"/>
          <w:sz w:val="60"/>
          <w:shd w:fill="FFFFFF" w:val="clear"/>
        </w:rPr>
        <w:t>MANAGEMENT SUCCESSION PLANNING</w:t>
      </w:r>
      <w:r>
        <w:rPr>
          <w:rFonts w:ascii="Tahoma;Geneva;sans-serif" w:hAnsi="Tahoma;Geneva;sans-serif"/>
          <w:b/>
          <w:i w:val="false"/>
          <w:caps w:val="false"/>
          <w:smallCaps w:val="false"/>
          <w:color w:val="000000"/>
          <w:spacing w:val="12"/>
          <w:sz w:val="6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Our Board is responsible for the development and regular review of a comprehensive succession plan for our CEO and senior management. Our Board believes that the full Board, including our CEO, should be actively engaged and involved in CEO and senior management succession planning, with the goal of business and operational continuity and sustaining the Company’s strong track record of increasing shareholder value. In general, the Board’s management succession planning is designed to anticipate both “planned” successions, such as those arising from anticipated retirements, and unplanned succession events, including emergencies and a range of other potential contingencies. Our Board has adopted an emergency succession plan to facilitate the transition to both interim and long-term leadership in the event of an unexpected vacancy in the position of CEO.</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Our CEO and Chief People Officer supports the annual succession plan review conducted by the Board by providing information about each executive role and succession scenarios, including an overview of each potential successor’s experience and potential, readiness assessment and planned leadership development opportunities. The independent members of the Board also regularly interact with employees across several levels of seniority through management presentations at Board meetings and other informal events to form their own independent assessment of senior leaders.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Our Board, including our CEO, also regularly reviews senior management succession planning and the composition of senior management with our Chief People Officer. If the succession plan is triggered for a member of senior management, our Board would participate in the discussion and consideration of any action with our CEO and Chief People Officer.</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640" w:before="470" w:after="283"/>
        <w:jc w:val="left"/>
        <w:rPr>
          <w:rFonts w:ascii="Tahoma;Geneva;sans-serif" w:hAnsi="Tahoma;Geneva;sans-serif"/>
          <w:b/>
          <w:i w:val="false"/>
          <w:caps w:val="false"/>
          <w:smallCaps w:val="false"/>
          <w:color w:val="0068C7"/>
          <w:sz w:val="60"/>
          <w:shd w:fill="FFFFFF" w:val="clear"/>
        </w:rPr>
      </w:pPr>
      <w:r>
        <w:rPr>
          <w:rFonts w:ascii="Tahoma;Geneva;sans-serif" w:hAnsi="Tahoma;Geneva;sans-serif"/>
          <w:b/>
          <w:i w:val="false"/>
          <w:caps w:val="false"/>
          <w:smallCaps w:val="false"/>
          <w:color w:val="0068C7"/>
          <w:sz w:val="60"/>
          <w:shd w:fill="FFFFFF" w:val="clear"/>
        </w:rPr>
        <w:t>NOMINATION OF CANDIDATES FOR DIRECTOR</w:t>
      </w:r>
      <w:r>
        <w:rPr>
          <w:rFonts w:ascii="Tahoma;Geneva;sans-serif" w:hAnsi="Tahoma;Geneva;sans-serif"/>
          <w:b/>
          <w:i w:val="false"/>
          <w:caps w:val="false"/>
          <w:smallCaps w:val="false"/>
          <w:color w:val="000000"/>
          <w:spacing w:val="12"/>
          <w:sz w:val="6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Company considers director candidates from several sources, including existing directors, members of the Company’s management team, shareholders, and third-party search firms. The Company’s current bylaws describe the procedures by which shareholders may recommend candidates for election to the Board. In general, shareholder nominations must be made in writing, and notice of a nomination must be given to our Secretary no earlier than the close of business on the 150th day, and no later than the close of business on the 120th day, before the anniversary date of the previous year’s annual meeting. If the date of the annual meeting is changed by more than 30 days from the first anniversary date of the previous year’s annual meeting, the notice must be delivered no earlier than the close of business on the 120th day before the annual meeting and no later than the close of business on the later of (i) the 90th day before the annual meeting or (ii) the 10th day following the day on which public announcement of the date of the meeting is first made. In addition, a notice of nomination must include information regarding both the nominating shareholder and each director nominee as set forth in the Company’s bylaws, including:</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25</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55" w:before="120" w:after="69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their relationship to each other;</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0" distB="0" distL="76200" distR="0" simplePos="0" locked="0" layoutInCell="1" allowOverlap="1" relativeHeight="324">
                <wp:simplePos x="0" y="0"/>
                <wp:positionH relativeFrom="column">
                  <wp:align>left</wp:align>
                </wp:positionH>
                <wp:positionV relativeFrom="line">
                  <wp:posOffset>635</wp:posOffset>
                </wp:positionV>
                <wp:extent cx="127000" cy="350520"/>
                <wp:effectExtent l="0" t="0" r="0" b="0"/>
                <wp:wrapSquare wrapText="right"/>
                <wp:docPr id="287"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0pt;mso-wrap-distance-bottom:0pt;margin-top:0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80"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any understanding between them regarding the nomination;</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76200" distR="0" simplePos="0" locked="0" layoutInCell="1" allowOverlap="1" relativeHeight="325">
                <wp:simplePos x="0" y="0"/>
                <wp:positionH relativeFrom="column">
                  <wp:align>left</wp:align>
                </wp:positionH>
                <wp:positionV relativeFrom="line">
                  <wp:align>top</wp:align>
                </wp:positionV>
                <wp:extent cx="127000" cy="350520"/>
                <wp:effectExtent l="0" t="0" r="0" b="0"/>
                <wp:wrapSquare wrapText="right"/>
                <wp:docPr id="288"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9pt;mso-wrap-distance-bottom:0pt;margin-top:9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80"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shares owned by the nominating shareholder; and</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76200" distR="0" simplePos="0" locked="0" layoutInCell="1" allowOverlap="1" relativeHeight="326">
                <wp:simplePos x="0" y="0"/>
                <wp:positionH relativeFrom="column">
                  <wp:align>left</wp:align>
                </wp:positionH>
                <wp:positionV relativeFrom="line">
                  <wp:align>top</wp:align>
                </wp:positionV>
                <wp:extent cx="127000" cy="350520"/>
                <wp:effectExtent l="0" t="0" r="0" b="0"/>
                <wp:wrapSquare wrapText="right"/>
                <wp:docPr id="289"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9pt;mso-wrap-distance-bottom:0pt;margin-top:9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80"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other information concerning the nominating shareholder and/or each nominee that is required for inclusion in a proxy statement filed with the Securities and Exchange Commission (the “SEC”).</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76200" distR="0" simplePos="0" locked="0" layoutInCell="1" allowOverlap="1" relativeHeight="327">
                <wp:simplePos x="0" y="0"/>
                <wp:positionH relativeFrom="column">
                  <wp:align>left</wp:align>
                </wp:positionH>
                <wp:positionV relativeFrom="line">
                  <wp:align>top</wp:align>
                </wp:positionV>
                <wp:extent cx="127000" cy="350520"/>
                <wp:effectExtent l="0" t="0" r="0" b="0"/>
                <wp:wrapSquare wrapText="right"/>
                <wp:docPr id="290"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9pt;mso-wrap-distance-bottom:0pt;margin-top:9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Further, to be eligible for election as a director of the Company, the nominee must deliver within the timeframe noted above a written questionnaire detailing his or her background and qualifications, and a written representation and agreement as set forth in the Company’s bylaws. The form for this representation and agreement will be provided by the Secretary of the Company upon written request.</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NCG Committee considers a variety of factors when determining whether to recommend a nominee for election to the Board, including those factors set forth in the Company’s Corporate Governance Guidelines. In general, candidates nominated for election to the Board should possess the following qualifications: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5" w:before="180"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high personal and professional ethics, integrity, practical wisdom and mature judgment;</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76200" distR="0" simplePos="0" locked="0" layoutInCell="1" allowOverlap="1" relativeHeight="328">
                <wp:simplePos x="0" y="0"/>
                <wp:positionH relativeFrom="column">
                  <wp:align>left</wp:align>
                </wp:positionH>
                <wp:positionV relativeFrom="line">
                  <wp:align>top</wp:align>
                </wp:positionV>
                <wp:extent cx="127000" cy="350520"/>
                <wp:effectExtent l="0" t="0" r="0" b="0"/>
                <wp:wrapSquare wrapText="right"/>
                <wp:docPr id="291"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9pt;mso-wrap-distance-bottom:0pt;margin-top:9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80"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broad training and experience in policy-making decisions in business;</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76200" distR="0" simplePos="0" locked="0" layoutInCell="1" allowOverlap="1" relativeHeight="329">
                <wp:simplePos x="0" y="0"/>
                <wp:positionH relativeFrom="column">
                  <wp:align>left</wp:align>
                </wp:positionH>
                <wp:positionV relativeFrom="line">
                  <wp:align>top</wp:align>
                </wp:positionV>
                <wp:extent cx="127000" cy="350520"/>
                <wp:effectExtent l="0" t="0" r="0" b="0"/>
                <wp:wrapSquare wrapText="right"/>
                <wp:docPr id="292"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9pt;mso-wrap-distance-bottom:0pt;margin-top:9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80"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professional expertise and skill set that is useful to the Company, and complementary to the background and experience of the other directors;</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76200" distR="0" simplePos="0" locked="0" layoutInCell="1" allowOverlap="1" relativeHeight="330">
                <wp:simplePos x="0" y="0"/>
                <wp:positionH relativeFrom="column">
                  <wp:align>left</wp:align>
                </wp:positionH>
                <wp:positionV relativeFrom="line">
                  <wp:align>top</wp:align>
                </wp:positionV>
                <wp:extent cx="127000" cy="350520"/>
                <wp:effectExtent l="0" t="0" r="0" b="0"/>
                <wp:wrapSquare wrapText="right"/>
                <wp:docPr id="293"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9pt;mso-wrap-distance-bottom:0pt;margin-top:9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80"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willingness to devote the amount of time necessary to carry out the duties and responsibilities of a director;</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76200" distR="0" simplePos="0" locked="0" layoutInCell="1" allowOverlap="1" relativeHeight="331">
                <wp:simplePos x="0" y="0"/>
                <wp:positionH relativeFrom="column">
                  <wp:align>left</wp:align>
                </wp:positionH>
                <wp:positionV relativeFrom="line">
                  <wp:align>top</wp:align>
                </wp:positionV>
                <wp:extent cx="127000" cy="350520"/>
                <wp:effectExtent l="0" t="0" r="0" b="0"/>
                <wp:wrapSquare wrapText="right"/>
                <wp:docPr id="294"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9pt;mso-wrap-distance-bottom:0pt;margin-top:9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80"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commitment to serve on the Board over a period of multiple years in order to develop knowledge about the Company and its operations;</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76200" distR="0" simplePos="0" locked="0" layoutInCell="1" allowOverlap="1" relativeHeight="332">
                <wp:simplePos x="0" y="0"/>
                <wp:positionH relativeFrom="column">
                  <wp:align>left</wp:align>
                </wp:positionH>
                <wp:positionV relativeFrom="line">
                  <wp:align>top</wp:align>
                </wp:positionV>
                <wp:extent cx="127000" cy="350520"/>
                <wp:effectExtent l="0" t="0" r="0" b="0"/>
                <wp:wrapSquare wrapText="right"/>
                <wp:docPr id="295"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9pt;mso-wrap-distance-bottom:0pt;margin-top:9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80"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willingness to represent the best interests of all stakeholders and objectively appraise management performance; and</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76200" distR="0" simplePos="0" locked="0" layoutInCell="1" allowOverlap="1" relativeHeight="333">
                <wp:simplePos x="0" y="0"/>
                <wp:positionH relativeFrom="column">
                  <wp:align>left</wp:align>
                </wp:positionH>
                <wp:positionV relativeFrom="line">
                  <wp:align>top</wp:align>
                </wp:positionV>
                <wp:extent cx="127000" cy="350520"/>
                <wp:effectExtent l="0" t="0" r="0" b="0"/>
                <wp:wrapSquare wrapText="right"/>
                <wp:docPr id="296"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9pt;mso-wrap-distance-bottom:0pt;margin-top:9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80"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compliance with the Company’s independence requirements.</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76200" distR="0" simplePos="0" locked="0" layoutInCell="1" allowOverlap="1" relativeHeight="334">
                <wp:simplePos x="0" y="0"/>
                <wp:positionH relativeFrom="column">
                  <wp:align>left</wp:align>
                </wp:positionH>
                <wp:positionV relativeFrom="line">
                  <wp:align>top</wp:align>
                </wp:positionV>
                <wp:extent cx="127000" cy="350520"/>
                <wp:effectExtent l="0" t="0" r="0" b="0"/>
                <wp:wrapSquare wrapText="right"/>
                <wp:docPr id="297"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9pt;mso-wrap-distance-bottom:0pt;margin-top:9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Potential candidates are screened and interviewed by a selection committee appointed by the NCG Committee.</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NCG Committee’s practice is to review the skills, experiences, and attributes of individual Board members and candidates given the current make-up of the Board, to ensure that the Board includes individuals who will serve the Company’s strategic and governance needs. We consider the Company’s current business priorities when evaluating a broad range of experience, knowledge, talents and perspectives that may be needed on the Board. Candidates are also evaluated on their broad-based business knowledge and contacts, prominence, commitment to ethical and moral values, personal and professional integrity, sound reputation in their respective fields, as well as a global business perspective and commitment to corporate citizenship.</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640" w:before="470" w:after="283"/>
        <w:jc w:val="left"/>
        <w:rPr>
          <w:rFonts w:ascii="Tahoma;Geneva;sans-serif" w:hAnsi="Tahoma;Geneva;sans-serif"/>
          <w:b/>
          <w:i w:val="false"/>
          <w:caps w:val="false"/>
          <w:smallCaps w:val="false"/>
          <w:color w:val="0068C7"/>
          <w:sz w:val="60"/>
          <w:shd w:fill="FFFFFF" w:val="clear"/>
        </w:rPr>
      </w:pPr>
      <w:r>
        <w:rPr>
          <w:rFonts w:ascii="Tahoma;Geneva;sans-serif" w:hAnsi="Tahoma;Geneva;sans-serif"/>
          <w:b/>
          <w:i w:val="false"/>
          <w:caps w:val="false"/>
          <w:smallCaps w:val="false"/>
          <w:color w:val="0068C7"/>
          <w:sz w:val="60"/>
          <w:shd w:fill="FFFFFF" w:val="clear"/>
        </w:rPr>
        <w:t>SIZE OF THE BOARD</w:t>
      </w:r>
      <w:r>
        <w:rPr>
          <w:rFonts w:ascii="Tahoma;Geneva;sans-serif" w:hAnsi="Tahoma;Geneva;sans-serif"/>
          <w:b/>
          <w:i w:val="false"/>
          <w:caps w:val="false"/>
          <w:smallCaps w:val="false"/>
          <w:color w:val="000000"/>
          <w:spacing w:val="12"/>
          <w:sz w:val="6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pacing w:val="-1"/>
          <w:sz w:val="19"/>
          <w:shd w:fill="FFFFFF" w:val="clear"/>
        </w:rPr>
      </w:pPr>
      <w:r>
        <w:rPr>
          <w:rFonts w:ascii="Arial;Helvetica;sans-serif" w:hAnsi="Arial;Helvetica;sans-serif"/>
          <w:b w:val="false"/>
          <w:i w:val="false"/>
          <w:caps w:val="false"/>
          <w:smallCaps w:val="false"/>
          <w:color w:val="000000"/>
          <w:spacing w:val="-1"/>
          <w:sz w:val="19"/>
          <w:shd w:fill="FFFFFF" w:val="clear"/>
        </w:rPr>
        <w:t xml:space="preserve">As provided in the Company’s bylaws, the Board is to be composed of no less than five and no more than fourteen members, with the exact number determined by the Board based on its current composition and requirements. The Board currently consists of fourteen members.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640" w:before="120" w:after="283"/>
        <w:ind w:left="893" w:right="40" w:hanging="0"/>
        <w:jc w:val="left"/>
        <w:rPr>
          <w:rFonts w:ascii="Tahoma;Geneva;sans-serif" w:hAnsi="Tahoma;Geneva;sans-serif"/>
          <w:b/>
          <w:i w:val="false"/>
          <w:caps w:val="false"/>
          <w:smallCaps w:val="false"/>
          <w:color w:val="0068C7"/>
          <w:sz w:val="60"/>
          <w:shd w:fill="FFFFFF" w:val="clear"/>
        </w:rPr>
      </w:pPr>
      <w:r>
        <w:rPr>
          <w:rFonts w:ascii="Tahoma;Geneva;sans-serif" w:hAnsi="Tahoma;Geneva;sans-serif"/>
          <w:b/>
          <w:i w:val="false"/>
          <w:caps w:val="false"/>
          <w:smallCaps w:val="false"/>
          <w:color w:val="0068C7"/>
          <w:sz w:val="60"/>
          <w:shd w:fill="FFFFFF" w:val="clear"/>
        </w:rPr>
        <w:t>BOARD LEADERSHIP STRUCTURE</w:t>
      </w:r>
      <w:r>
        <w:rPr>
          <w:rFonts w:ascii="Tahoma;Geneva;sans-serif" w:hAnsi="Tahoma;Geneva;sans-serif"/>
          <w:b/>
          <w:i w:val="false"/>
          <w:caps w:val="false"/>
          <w:smallCaps w:val="false"/>
          <w:color w:val="000000"/>
          <w:spacing w:val="12"/>
          <w:sz w:val="6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Board has the flexibility to determine whether it is in the best interests of the Company and its shareholders to separate or combine the roles of Board Chair and CEO at any given time. In making that determination, the Board assesses whether the roles should be separated or combined based on its evaluation of the existing composition of the Board and the circumstances at the time.</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360" w:before="280" w:after="283"/>
        <w:jc w:val="left"/>
        <w:rPr>
          <w:rFonts w:ascii="Tahoma;Geneva;sans-serif" w:hAnsi="Tahoma;Geneva;sans-serif"/>
          <w:b/>
          <w:i w:val="false"/>
          <w:caps w:val="false"/>
          <w:smallCaps w:val="false"/>
          <w:color w:val="4C4C4C"/>
          <w:sz w:val="32"/>
          <w:shd w:fill="FFFFFF" w:val="clear"/>
        </w:rPr>
      </w:pPr>
      <w:r>
        <w:rPr>
          <w:rFonts w:ascii="Tahoma;Geneva;sans-serif" w:hAnsi="Tahoma;Geneva;sans-serif"/>
          <w:b/>
          <w:i w:val="false"/>
          <w:caps w:val="false"/>
          <w:smallCaps w:val="false"/>
          <w:color w:val="4C4C4C"/>
          <w:sz w:val="32"/>
          <w:shd w:fill="FFFFFF" w:val="clear"/>
        </w:rPr>
        <w:t>SEPARATION OF BOARD CHAIR AND CEO</w:t>
      </w:r>
      <w:r>
        <w:rPr>
          <w:rFonts w:ascii="Tahoma;Geneva;sans-serif" w:hAnsi="Tahoma;Geneva;sans-serif"/>
          <w:b/>
          <w:i w:val="false"/>
          <w:caps w:val="false"/>
          <w:smallCaps w:val="false"/>
          <w:color w:val="000000"/>
          <w:spacing w:val="6"/>
          <w:sz w:val="32"/>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Mr. DiGirolamo has served as our independent Chair of the Board since June 2024. The Board believes that this separation of duties strengthens our corporate governance by providing independent leadership of the Board and allowing the Chair to focus more on oversight. Mr. DiGirolamo joined our Board in 2018 and served as our Lead Independent Director from 2022 until his election as Board Chair.</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360" w:before="280" w:after="283"/>
        <w:jc w:val="left"/>
        <w:rPr>
          <w:rFonts w:ascii="Tahoma;Geneva;sans-serif" w:hAnsi="Tahoma;Geneva;sans-serif"/>
          <w:b/>
          <w:i w:val="false"/>
          <w:caps w:val="false"/>
          <w:smallCaps w:val="false"/>
          <w:color w:val="4C4C4C"/>
          <w:sz w:val="32"/>
          <w:shd w:fill="FFFFFF" w:val="clear"/>
        </w:rPr>
      </w:pPr>
      <w:r>
        <w:rPr>
          <w:rFonts w:ascii="Tahoma;Geneva;sans-serif" w:hAnsi="Tahoma;Geneva;sans-serif"/>
          <w:b/>
          <w:i w:val="false"/>
          <w:caps w:val="false"/>
          <w:smallCaps w:val="false"/>
          <w:color w:val="4C4C4C"/>
          <w:sz w:val="32"/>
          <w:shd w:fill="FFFFFF" w:val="clear"/>
        </w:rPr>
        <w:t>BOARD CHAIR RESPONSIBILITIES</w:t>
      </w:r>
      <w:r>
        <w:rPr>
          <w:rFonts w:ascii="Tahoma;Geneva;sans-serif" w:hAnsi="Tahoma;Geneva;sans-serif"/>
          <w:b/>
          <w:i w:val="false"/>
          <w:caps w:val="false"/>
          <w:smallCaps w:val="false"/>
          <w:color w:val="000000"/>
          <w:spacing w:val="6"/>
          <w:sz w:val="32"/>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responsibilities of the Board Chair include the following:</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5" w:before="176"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presides at all meetings of the Board, including meetings of the independent directors held in executive session;</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1760" distB="0" distL="76200" distR="0" simplePos="0" locked="0" layoutInCell="1" allowOverlap="1" relativeHeight="335">
                <wp:simplePos x="0" y="0"/>
                <wp:positionH relativeFrom="column">
                  <wp:align>left</wp:align>
                </wp:positionH>
                <wp:positionV relativeFrom="line">
                  <wp:align>top</wp:align>
                </wp:positionV>
                <wp:extent cx="127000" cy="350520"/>
                <wp:effectExtent l="0" t="0" r="0" b="0"/>
                <wp:wrapSquare wrapText="right"/>
                <wp:docPr id="298"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8.8pt;mso-wrap-distance-bottom:0pt;margin-top:8.8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54"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has the authority to call meetings of the independent directors;</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97790" distB="0" distL="76200" distR="0" simplePos="0" locked="0" layoutInCell="1" allowOverlap="1" relativeHeight="336">
                <wp:simplePos x="0" y="0"/>
                <wp:positionH relativeFrom="column">
                  <wp:align>left</wp:align>
                </wp:positionH>
                <wp:positionV relativeFrom="line">
                  <wp:align>top</wp:align>
                </wp:positionV>
                <wp:extent cx="127000" cy="350520"/>
                <wp:effectExtent l="0" t="0" r="0" b="0"/>
                <wp:wrapSquare wrapText="right"/>
                <wp:docPr id="299"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7.7pt;mso-wrap-distance-bottom:0pt;margin-top:7.7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52"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serves as a liaison between the CEO and the independent directors;</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96520" distB="0" distL="76200" distR="0" simplePos="0" locked="0" layoutInCell="1" allowOverlap="1" relativeHeight="337">
                <wp:simplePos x="0" y="0"/>
                <wp:positionH relativeFrom="column">
                  <wp:align>left</wp:align>
                </wp:positionH>
                <wp:positionV relativeFrom="line">
                  <wp:align>top</wp:align>
                </wp:positionV>
                <wp:extent cx="127000" cy="350520"/>
                <wp:effectExtent l="0" t="0" r="0" b="0"/>
                <wp:wrapSquare wrapText="right"/>
                <wp:docPr id="300"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7.6pt;mso-wrap-distance-bottom:0pt;margin-top:7.6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52"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consults with the CEO on agendas for Board meetings; and</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96520" distB="0" distL="7620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301"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7.6pt;mso-wrap-distance-bottom:0pt;margin-top:7.6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52"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carries out other duties as requested by the NCG Committee, the independent directors, or the Board.</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96520" distB="0" distL="76200" distR="0" simplePos="0" locked="0" layoutInCell="1" allowOverlap="1" relativeHeight="339">
                <wp:simplePos x="0" y="0"/>
                <wp:positionH relativeFrom="column">
                  <wp:align>left</wp:align>
                </wp:positionH>
                <wp:positionV relativeFrom="line">
                  <wp:align>top</wp:align>
                </wp:positionV>
                <wp:extent cx="127000" cy="350520"/>
                <wp:effectExtent l="0" t="0" r="0" b="0"/>
                <wp:wrapSquare wrapText="right"/>
                <wp:docPr id="302"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7.6pt;mso-wrap-distance-bottom:0pt;margin-top:7.6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COMMUNICATION WITH DIRECTORS</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Any person wishing to communicate with the Board may send electronic communication addressed to the Board Chair, or to any member of the Board individually, to chair@coherent.com, or a written communication addressed to the Board Chair, or to any member of the Board individually, in care of Coherent Corp., 375 Saxonburg Boulevard, Saxonburg, PA 16056. Any communication addressed to a director that is received by the Company at this address will be delivered or forwarded to the individual director as soon as practicable, except for advertisements, solicitations or other matters unrelated to the Company. The Company will forward communications addressed to the Board Chair and to the chair of the Board committee whose function is most closely related to the subject matter of the communication.</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DIRECTOR MANDATORY SERVICE CONCLUSION AND SUCCESSION PLANNING</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pacing w:val="-1"/>
          <w:sz w:val="19"/>
          <w:shd w:fill="FFFFFF" w:val="clear"/>
        </w:rPr>
      </w:pPr>
      <w:r>
        <w:rPr>
          <w:rFonts w:ascii="Arial;Helvetica;sans-serif" w:hAnsi="Arial;Helvetica;sans-serif"/>
          <w:b w:val="false"/>
          <w:i w:val="false"/>
          <w:caps w:val="false"/>
          <w:smallCaps w:val="false"/>
          <w:color w:val="000000"/>
          <w:spacing w:val="-1"/>
          <w:sz w:val="19"/>
          <w:shd w:fill="FFFFFF" w:val="clear"/>
        </w:rPr>
        <w:t xml:space="preserve">The Board has instituted a policy for directors, as set forth in the Company’s Corporate Governance Guidelines. Under this policy, a director must tender a resignation to the NCG Committee, to be effective at the end of the last regularly scheduled Board meeting prior to the director’s 76th birthday. The NCG Committee considers each case and recommends to the Board the action to be taken. The Board in its discretion chooses to accept or reject the resignation. If rejected, the director’s resignation will be deemed to be re-submitted to the NCG Committee annually thereafter, until such time as it is accepted by the Board. The Board undertakes a succession planning process to proactively address anticipated openings on the Board.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STANDING BOARD LIMITS</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Board members are limited to serving on a maximum of four public company boards, including the Board.</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27</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440" w:before="120" w:after="720"/>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CHANGE IN DIRECTOR OCCUPATION</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Under the Company’s Corporate Governance Guidelines, when a director’s principal occupation or business association changes substantially (including retirement), the director must tender a resignation for consideration by the NCG Committee. The NCG Committee considers whether such change materially affects the director’s qualification to continue serving as a director and recommends to the Board the action to be taken with respect to the resignation.</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EXECUTIVE SESSIONS OF NON-EMPLOYEE DIRECTORS</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Executive sessions of independent directors are held regularly, at least twice each fiscal year, with the Board Chair presiding.</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DIRECTOR ATTENDANCE AT ANNUAL MEETING OF SHAREHOLDERS</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Directors are expected to attend the Annual Meeting, in person or remotely. All directors attended last year’s annual meeting of shareholders.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CORPORATE GOVERNANCE DOCUMENTS</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following corporate governance documents are available on the Company’s website at www.coherent.com/company/</w:t>
      </w:r>
      <w:r>
        <w:rPr>
          <w:rFonts w:ascii="Arial;Helvetica;sans-serif" w:hAnsi="Arial;Helvetica;sans-serif"/>
          <w:b w:val="false"/>
          <w:i w:val="false"/>
          <w:caps w:val="false"/>
          <w:smallCaps w:val="false"/>
          <w:color w:val="000000"/>
          <w:sz w:val="19"/>
          <w:shd w:fill="FFFFFF" w:val="clear"/>
        </w:rPr>
        <w:t>​</w:t>
      </w:r>
      <w:r>
        <w:rPr>
          <w:rFonts w:ascii="Arial;Helvetica;sans-serif" w:hAnsi="Arial;Helvetica;sans-serif"/>
          <w:b w:val="false"/>
          <w:i w:val="false"/>
          <w:caps w:val="false"/>
          <w:smallCaps w:val="false"/>
          <w:color w:val="000000"/>
          <w:spacing w:val="-1"/>
          <w:sz w:val="19"/>
          <w:shd w:fill="FFFFFF" w:val="clear"/>
        </w:rPr>
        <w:t>investor-relations/governance.</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5" w:before="180"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Amended and Restated Articles of Incorporation</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76200" distR="0" simplePos="0" locked="0" layoutInCell="1" allowOverlap="1" relativeHeight="340">
                <wp:simplePos x="0" y="0"/>
                <wp:positionH relativeFrom="column">
                  <wp:align>left</wp:align>
                </wp:positionH>
                <wp:positionV relativeFrom="line">
                  <wp:align>top</wp:align>
                </wp:positionV>
                <wp:extent cx="127000" cy="350520"/>
                <wp:effectExtent l="0" t="0" r="0" b="0"/>
                <wp:wrapSquare wrapText="right"/>
                <wp:docPr id="303"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9pt;mso-wrap-distance-bottom:0pt;margin-top:9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80"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Articles of Amendment to Amended and Restated Articles of Incorporation</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76200" distR="0" simplePos="0" locked="0" layoutInCell="1" allowOverlap="1" relativeHeight="341">
                <wp:simplePos x="0" y="0"/>
                <wp:positionH relativeFrom="column">
                  <wp:align>left</wp:align>
                </wp:positionH>
                <wp:positionV relativeFrom="line">
                  <wp:align>top</wp:align>
                </wp:positionV>
                <wp:extent cx="127000" cy="350520"/>
                <wp:effectExtent l="0" t="0" r="0" b="0"/>
                <wp:wrapSquare wrapText="right"/>
                <wp:docPr id="304"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9pt;mso-wrap-distance-bottom:0pt;margin-top:9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80"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Amended and Restated Bylaws</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76200" distR="0" simplePos="0" locked="0" layoutInCell="1" allowOverlap="1" relativeHeight="342">
                <wp:simplePos x="0" y="0"/>
                <wp:positionH relativeFrom="column">
                  <wp:align>left</wp:align>
                </wp:positionH>
                <wp:positionV relativeFrom="line">
                  <wp:align>top</wp:align>
                </wp:positionV>
                <wp:extent cx="127000" cy="350520"/>
                <wp:effectExtent l="0" t="0" r="0" b="0"/>
                <wp:wrapSquare wrapText="right"/>
                <wp:docPr id="305"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9pt;mso-wrap-distance-bottom:0pt;margin-top:9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80"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Code of Ethical Business Conduct</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76200" distR="0" simplePos="0" locked="0" layoutInCell="1" allowOverlap="1" relativeHeight="343">
                <wp:simplePos x="0" y="0"/>
                <wp:positionH relativeFrom="column">
                  <wp:align>left</wp:align>
                </wp:positionH>
                <wp:positionV relativeFrom="line">
                  <wp:align>top</wp:align>
                </wp:positionV>
                <wp:extent cx="127000" cy="350520"/>
                <wp:effectExtent l="0" t="0" r="0" b="0"/>
                <wp:wrapSquare wrapText="right"/>
                <wp:docPr id="306"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9pt;mso-wrap-distance-bottom:0pt;margin-top:9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80"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Corporate Governance Guidelines</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76200" distR="0" simplePos="0" locked="0" layoutInCell="1" allowOverlap="1" relativeHeight="344">
                <wp:simplePos x="0" y="0"/>
                <wp:positionH relativeFrom="column">
                  <wp:align>left</wp:align>
                </wp:positionH>
                <wp:positionV relativeFrom="line">
                  <wp:align>top</wp:align>
                </wp:positionV>
                <wp:extent cx="127000" cy="350520"/>
                <wp:effectExtent l="0" t="0" r="0" b="0"/>
                <wp:wrapSquare wrapText="right"/>
                <wp:docPr id="307"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9pt;mso-wrap-distance-bottom:0pt;margin-top:9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80"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Conflicts of Interest Policy</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76200" distR="0" simplePos="0" locked="0" layoutInCell="1" allowOverlap="1" relativeHeight="345">
                <wp:simplePos x="0" y="0"/>
                <wp:positionH relativeFrom="column">
                  <wp:align>left</wp:align>
                </wp:positionH>
                <wp:positionV relativeFrom="line">
                  <wp:align>top</wp:align>
                </wp:positionV>
                <wp:extent cx="127000" cy="350520"/>
                <wp:effectExtent l="0" t="0" r="0" b="0"/>
                <wp:wrapSquare wrapText="right"/>
                <wp:docPr id="308"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9pt;mso-wrap-distance-bottom:0pt;margin-top:9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80"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Committee Charters</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76200" distR="0" simplePos="0" locked="0" layoutInCell="1" allowOverlap="1" relativeHeight="346">
                <wp:simplePos x="0" y="0"/>
                <wp:positionH relativeFrom="column">
                  <wp:align>left</wp:align>
                </wp:positionH>
                <wp:positionV relativeFrom="line">
                  <wp:align>top</wp:align>
                </wp:positionV>
                <wp:extent cx="127000" cy="350520"/>
                <wp:effectExtent l="0" t="0" r="0" b="0"/>
                <wp:wrapSquare wrapText="right"/>
                <wp:docPr id="309"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9pt;mso-wrap-distance-bottom:0pt;margin-top:9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Paper copies of the documents listed above are available without charge upon request to chair@coherent.com.</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CORPORATE GOVERNANCE GUIDELINES</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Board has adopted Corporate Governance Guidelines, which are designed to assist the Board in the exercise of its duties and responsibilities to the Company. They reflect the Board’s commitment to monitor the effectiveness of decision-making at the Board and management levels. This document is available on the Company’s website at www.coherent.com/</w:t>
      </w:r>
      <w:r>
        <w:rPr>
          <w:rFonts w:ascii="Arial;Helvetica;sans-serif" w:hAnsi="Arial;Helvetica;sans-serif"/>
          <w:b w:val="false"/>
          <w:i w:val="false"/>
          <w:caps w:val="false"/>
          <w:smallCaps w:val="false"/>
          <w:color w:val="000000"/>
          <w:sz w:val="19"/>
          <w:shd w:fill="FFFFFF" w:val="clear"/>
        </w:rPr>
        <w:t>​</w:t>
      </w:r>
      <w:r>
        <w:rPr>
          <w:rFonts w:ascii="Arial;Helvetica;sans-serif" w:hAnsi="Arial;Helvetica;sans-serif"/>
          <w:b w:val="false"/>
          <w:i w:val="false"/>
          <w:caps w:val="false"/>
          <w:smallCaps w:val="false"/>
          <w:color w:val="000000"/>
          <w:spacing w:val="-1"/>
          <w:sz w:val="19"/>
          <w:shd w:fill="FFFFFF" w:val="clear"/>
        </w:rPr>
        <w:t xml:space="preserve">company/investor-relations/governance. The Company will promptly disclose on its website any substantive amendments or waivers with respect to any provision of the Corporate Governance Guidelines.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28</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440" w:before="120" w:after="283"/>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CODE OF ETHICAL BUSINESS CONDUCT</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Board has approved and adopted a Code of Ethical Business Conduct (the “Code of Conduct”) applicable to everyone in the Company and its subsidiaries, including the Board. The Code of Conduct also applies to contractors, consultants, temporary workers, suppliers, and other third parties. This document is available on the Company’s website at www.coherent.com/company/investor-relations/governance. The Company will promptly disclose on its website any substantive amendments or waivers with respect to any provision of the Code of Conduct.</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Employees are required and encouraged to report suspected violations of our Code of Conduct. Reports are forwarded for review by the Audit and Risk Committee.</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COMPANY POLICY PROHIBITING INSIDER TRADING AND SPECULATIVE TRADING, PLEDGING AND HEDGING</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We have adopted an insider trading policy and procedures reasonably designed to promote compliance with insider trading laws, rules, and regulations and the listing standards of the New York Stock Exchange and governing the purchase, sale and/</w:t>
      </w:r>
      <w:r>
        <w:rPr>
          <w:rFonts w:ascii="Arial;Helvetica;sans-serif" w:hAnsi="Arial;Helvetica;sans-serif"/>
          <w:b w:val="false"/>
          <w:i w:val="false"/>
          <w:caps w:val="false"/>
          <w:smallCaps w:val="false"/>
          <w:color w:val="000000"/>
          <w:sz w:val="19"/>
          <w:shd w:fill="FFFFFF" w:val="clear"/>
        </w:rPr>
        <w:t>​</w:t>
      </w:r>
      <w:r>
        <w:rPr>
          <w:rFonts w:ascii="Arial;Helvetica;sans-serif" w:hAnsi="Arial;Helvetica;sans-serif"/>
          <w:b w:val="false"/>
          <w:i w:val="false"/>
          <w:caps w:val="false"/>
          <w:smallCaps w:val="false"/>
          <w:color w:val="000000"/>
          <w:spacing w:val="-1"/>
          <w:sz w:val="19"/>
          <w:shd w:fill="FFFFFF" w:val="clear"/>
        </w:rPr>
        <w:t>or, other disposition (“trading”) of our Common Stock and other securities by our directors, officers and employees and other persons who may have access to material, non-public information about the Company including, without limitation, such person’s spouse and others living in that person’s household. Aside from the blanket restriction on trading while in possession of material non-public information, the insider trading policy also prohibits certain designated insiders (including our directors and Section 16 officers) from trading during blackout windows and, during open trading windows, requires designated insiders to pre-clear their trades. The insider trading policy also prohibits employees from trading in securities of other public companies about which the employee learns material, non-public information.</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In addition to the above restrictions, the insider trading policy also prohibits certain designated insiders (including our directors and Section 16 officers) from (1) selling Company securities of the same class for at least six months after a purchase, or purchasing Company securities of the same class for at least six months after a sale, (2) selling Company securities short, (3) buying or selling puts, calls, or other derivatives, on the Company’s securities, (4) pledging Company securities, or holding them in a margin account as collateral, and (5) hedging Company securities. The insider trading policy does not specifically define hedging transactions, but they are intended to include the purchase of financial instruments (including prepaid variable forward contracts, equity swaps, collars, and exchange funds), or other transactions that are intended to hedge or offset any decrease in the market value of Company securities held by the individual.</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foregoing summaries of our insider trading policy and procedures do not purport to be complete and are qualified in their entirety by reference to the full text of our insider trading policy, a copy of which can be found as an exhibit to our Annual Report on Form 10-K for the fiscal year ended June 30, 2026.</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REVIEW AND APPROVAL OF RELATED PERSON TRANSACTIONS</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Company’s policies and procedures regarding related party transactions are included in the Company’s Corporate Governance Guidelines. The Corporate Governance Guidelines require that all Company directors, officers and employees refrain from activities that might involve a conflict of interest. Before making an investment, accepting a position or benefit, participating in a transaction or business arrangement, or otherwise acting in a manner that creates or appears to create a conflict of interest, a full disclosure of all relevant facts and circumstances must be made, and the Audit and Risk Committee’s written approval obtained. The Audit and Risk Committee reviews and approves any transaction between the Company and any related person (as defined in Item 404 of Regulation S-K) and any other potential conflict of interest situations on an ongoing basis. Waivers of actual or potential conflicts of interest for any of the Company’s executive officers or directors may be granted only by the Board. Only those matters that are determined by the Board not to be in conflict with the best interests of the Company may be approved. In fiscal year 2026, we did not conduct any transactions with related persons that would be considered a related party transaction under applicable SEC rules.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29</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2" w:name="tDICO"/>
      <w:bookmarkEnd w:id="1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440" w:before="120" w:after="283"/>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COMPENSATION COMMITTEE INTERLOCKS AND INSIDER PARTICIPATION</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During fiscal year 2026, Ms. Sterling, Mr. Pagliuca, Ms. Patrick, Mr. Vij and Dr. Xia served as members of the Compensation and Human Capital Committee. None of them has ever served as an officer or employee of Coherent or has had any relationship with Coherent requiring disclosure under Item 404 of Regulation S-K under the Exchange Act. During fiscal 2026, none of our executive officers served as a member of the board of directors or compensation committee of another entity, any officers of which served on Coherent’s Board or Compensation and Human Capital Committee.</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640" w:before="470" w:after="283"/>
        <w:jc w:val="left"/>
        <w:rPr>
          <w:rFonts w:ascii="Tahoma;Geneva;sans-serif" w:hAnsi="Tahoma;Geneva;sans-serif"/>
          <w:b/>
          <w:i w:val="false"/>
          <w:caps w:val="false"/>
          <w:smallCaps w:val="false"/>
          <w:color w:val="0068C7"/>
          <w:sz w:val="60"/>
          <w:shd w:fill="FFFFFF" w:val="clear"/>
        </w:rPr>
      </w:pPr>
      <w:r>
        <w:rPr>
          <w:rFonts w:ascii="Tahoma;Geneva;sans-serif" w:hAnsi="Tahoma;Geneva;sans-serif"/>
          <w:b/>
          <w:i w:val="false"/>
          <w:caps w:val="false"/>
          <w:smallCaps w:val="false"/>
          <w:color w:val="0068C7"/>
          <w:sz w:val="60"/>
          <w:shd w:fill="FFFFFF" w:val="clear"/>
        </w:rPr>
        <w:t>DIRECTOR COMPENSATION</w:t>
      </w:r>
      <w:r>
        <w:rPr>
          <w:rFonts w:ascii="Tahoma;Geneva;sans-serif" w:hAnsi="Tahoma;Geneva;sans-serif"/>
          <w:b/>
          <w:i w:val="false"/>
          <w:caps w:val="false"/>
          <w:smallCaps w:val="false"/>
          <w:color w:val="000000"/>
          <w:spacing w:val="12"/>
          <w:sz w:val="6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Company uses a combination of cash and equity compensation to attract and retain qualified candidates to serve on the Company’s Board. In setting director compensation, the Company consults with its independent compensation advisor, and considers the significant amount of time and skill required for directors to fulfill their overall responsibilities. Director compensation is only paid to non-employee directors. For purposes of this section, all references to “directors” means non-employee directors.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director compensation program is periodically (generally every other year) reviewed by the Compensation and Human Capital Committee, with the assistance of its independent compensation advisor, to ensure that the program remains competitive. As part of this review, the types and levels of compensation offered to our directors are compared to those offered by a select group of comparable companies (the “Peer Group”). The Peer Group is the same as those used for the Company’s named executive officers and are listed in the “Compensation Discussion and Analysis” section of this proxy statement.</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components of our director compensation program for fiscal year 2026 are disclosed below. The Board is compensated based on a role-based compensation program, not on the number of meetings attended. The Compensation and Human Capital Committee strives to set director compensation at levels that are competitive with our Peer Group.</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DIRECTOR COMPENSATION FOR FISCAL YEAR 2026</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60" w:before="120" w:after="283"/>
        <w:jc w:val="left"/>
        <w:rPr>
          <w:rFonts w:ascii="Tahoma;Geneva;sans-serif" w:hAnsi="Tahoma;Geneva;sans-serif"/>
          <w:b/>
          <w:i w:val="false"/>
          <w:caps w:val="false"/>
          <w:smallCaps w:val="false"/>
          <w:color w:val="0068C7"/>
          <w:sz w:val="22"/>
          <w:shd w:fill="FFFFFF" w:val="clear"/>
        </w:rPr>
      </w:pPr>
      <w:r>
        <w:rPr>
          <w:rFonts w:ascii="Tahoma;Geneva;sans-serif" w:hAnsi="Tahoma;Geneva;sans-serif"/>
          <w:b/>
          <w:i w:val="false"/>
          <w:caps w:val="false"/>
          <w:smallCaps w:val="false"/>
          <w:color w:val="0068C7"/>
          <w:sz w:val="22"/>
          <w:shd w:fill="FFFFFF" w:val="clear"/>
        </w:rPr>
        <w:t>DIRECTOR CASH COMPENSATION</w:t>
      </w:r>
      <w:r>
        <w:rPr>
          <w:rFonts w:ascii="Tahoma;Geneva;sans-serif" w:hAnsi="Tahoma;Geneva;sans-serif"/>
          <w:b/>
          <w:i w:val="false"/>
          <w:caps w:val="false"/>
          <w:smallCaps w:val="false"/>
          <w:color w:val="000000"/>
          <w:spacing w:val="4"/>
          <w:sz w:val="22"/>
          <w:shd w:fill="FFFFFF" w:val="clear"/>
        </w:rPr>
        <w:t xml:space="preserve"> </w:t>
      </w:r>
    </w:p>
    <w:tbl>
      <w:tblPr>
        <w:tblW w:w="8001" w:type="dxa"/>
        <w:jc w:val="left"/>
        <w:tblInd w:w="893" w:type="dxa"/>
        <w:tblLayout w:type="fixed"/>
        <w:tblCellMar>
          <w:top w:w="0" w:type="dxa"/>
          <w:left w:w="0" w:type="dxa"/>
          <w:bottom w:w="28" w:type="dxa"/>
          <w:right w:w="0" w:type="dxa"/>
        </w:tblCellMar>
      </w:tblPr>
      <w:tblGrid>
        <w:gridCol w:w="124"/>
        <w:gridCol w:w="4975"/>
        <w:gridCol w:w="109"/>
        <w:gridCol w:w="109"/>
        <w:gridCol w:w="1291"/>
        <w:gridCol w:w="109"/>
        <w:gridCol w:w="109"/>
        <w:gridCol w:w="1021"/>
        <w:gridCol w:w="154"/>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4975"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2530" w:type="dxa"/>
            <w:gridSpan w:val="4"/>
            <w:tcBorders>
              <w:bottom w:val="single" w:sz="2" w:space="0" w:color="FFFFFF"/>
            </w:tcBorders>
            <w:shd w:fill="000000" w:val="clear"/>
            <w:tcMar>
              <w:bottom w:w="50" w:type="dxa"/>
            </w:tcMar>
            <w:vAlign w:val="center"/>
          </w:tcPr>
          <w:p>
            <w:pPr>
              <w:pStyle w:val="TableContents"/>
              <w:bidi w:val="0"/>
              <w:spacing w:before="0" w:after="0"/>
              <w:jc w:val="center"/>
              <w:rPr/>
            </w:pPr>
            <w:r>
              <w:rPr/>
              <w:t xml:space="preserve">Annual Retainer </w:t>
            </w:r>
          </w:p>
        </w:tc>
        <w:tc>
          <w:tcPr>
            <w:tcW w:w="154" w:type="dxa"/>
            <w:tcBorders>
              <w:bottom w:val="single" w:sz="2" w:space="0" w:color="000000"/>
            </w:tcBorders>
            <w:shd w:fill="000000" w:val="clear"/>
            <w:vAlign w:val="center"/>
          </w:tcPr>
          <w:p>
            <w:pPr>
              <w:pStyle w:val="TableContents"/>
              <w:bidi w:val="0"/>
              <w:spacing w:before="0" w:after="283"/>
              <w:jc w:val="left"/>
              <w:rPr/>
            </w:pPr>
            <w:r>
              <w:rPr/>
              <w:t>​</w:t>
            </w:r>
          </w:p>
        </w:tc>
      </w:tr>
      <w:tr>
        <w:trPr/>
        <w:tc>
          <w:tcPr>
            <w:tcW w:w="124" w:type="dxa"/>
            <w:tcBorders/>
            <w:shd w:fill="000000" w:val="clear"/>
            <w:tcMar>
              <w:bottom w:w="0" w:type="dxa"/>
            </w:tcMar>
            <w:vAlign w:val="center"/>
          </w:tcPr>
          <w:p>
            <w:pPr>
              <w:pStyle w:val="TableContents"/>
              <w:bidi w:val="0"/>
              <w:spacing w:before="0" w:after="283"/>
              <w:jc w:val="left"/>
              <w:rPr/>
            </w:pPr>
            <w:r>
              <w:rPr/>
              <w:t>​</w:t>
            </w:r>
          </w:p>
        </w:tc>
        <w:tc>
          <w:tcPr>
            <w:tcW w:w="4975" w:type="dxa"/>
            <w:tcBorders/>
            <w:shd w:fill="000000" w:val="clear"/>
            <w:tcMar>
              <w:bottom w:w="0" w:type="dxa"/>
            </w:tcMar>
            <w:vAlign w:val="center"/>
          </w:tcPr>
          <w:p>
            <w:pPr>
              <w:pStyle w:val="TableContents"/>
              <w:bidi w:val="0"/>
              <w:spacing w:before="0" w:after="0"/>
              <w:jc w:val="left"/>
              <w:rPr/>
            </w:pPr>
            <w:r>
              <w:rPr/>
              <w:t xml:space="preserve">Compensation Item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291" w:type="dxa"/>
            <w:tcBorders/>
            <w:shd w:fill="000000" w:val="clear"/>
            <w:tcMar>
              <w:bottom w:w="0" w:type="dxa"/>
            </w:tcMar>
            <w:vAlign w:val="center"/>
          </w:tcPr>
          <w:p>
            <w:pPr>
              <w:pStyle w:val="TableContents"/>
              <w:bidi w:val="0"/>
              <w:spacing w:before="0" w:after="0"/>
              <w:jc w:val="center"/>
              <w:rPr/>
            </w:pPr>
            <w:r>
              <w:rPr/>
              <w:t xml:space="preserve">Member ($)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21" w:type="dxa"/>
            <w:tcBorders/>
            <w:shd w:fill="000000" w:val="clear"/>
            <w:tcMar>
              <w:bottom w:w="0" w:type="dxa"/>
            </w:tcMar>
            <w:vAlign w:val="center"/>
          </w:tcPr>
          <w:p>
            <w:pPr>
              <w:pStyle w:val="TableContents"/>
              <w:bidi w:val="0"/>
              <w:spacing w:lineRule="atLeast" w:line="142" w:before="0" w:after="0"/>
              <w:jc w:val="center"/>
              <w:rPr/>
            </w:pPr>
            <w:r>
              <w:rPr/>
              <w:t>Chair ($)</w:t>
            </w:r>
            <w:r>
              <w:rPr>
                <w:sz w:val="10"/>
              </w:rPr>
              <w:t>1</w:t>
            </w:r>
          </w:p>
        </w:tc>
        <w:tc>
          <w:tcPr>
            <w:tcW w:w="154" w:type="dxa"/>
            <w:tcBorders/>
            <w:shd w:fill="000000"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4975"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Full Board Membership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291"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90,000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21"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180,000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4975"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Audit and Risk Committee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291"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15,000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21"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30,000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4975"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Compensation and Human Capital Committee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291"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10,500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21"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21,000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4975"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Nominating and Corporate Governance Committee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291"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10,000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21" w:type="dxa"/>
            <w:tcBorders>
              <w:bottom w:val="single" w:sz="2" w:space="0" w:color="666666"/>
            </w:tcBorders>
            <w:tcMar>
              <w:bottom w:w="108" w:type="dxa"/>
            </w:tcMar>
            <w:vAlign w:val="center"/>
          </w:tcPr>
          <w:p>
            <w:pPr>
              <w:pStyle w:val="TableContents"/>
              <w:bidi w:val="0"/>
              <w:spacing w:before="0" w:after="0"/>
              <w:jc w:val="center"/>
              <w:rPr/>
            </w:pPr>
            <w:r>
              <w:rPr>
                <w:spacing w:val="-1"/>
              </w:rPr>
              <w:t>20,000</w:t>
            </w:r>
            <w:r>
              <w:rPr/>
              <w:t xml:space="preserve"> </w:t>
            </w:r>
          </w:p>
        </w:tc>
        <w:tc>
          <w:tcPr>
            <w:tcW w:w="154" w:type="dxa"/>
            <w:tcBorders>
              <w:bottom w:val="single" w:sz="2" w:space="0" w:color="666666"/>
            </w:tcBorders>
            <w:vAlign w:val="center"/>
          </w:tcPr>
          <w:p>
            <w:pPr>
              <w:pStyle w:val="TableContents"/>
              <w:bidi w:val="0"/>
              <w:spacing w:before="0" w:after="283"/>
              <w:jc w:val="left"/>
              <w:rPr/>
            </w:pPr>
            <w:r>
              <w:rPr/>
              <w:t>​</w:t>
            </w:r>
          </w:p>
        </w:tc>
      </w:tr>
    </w:tbl>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196"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Retainers paid to Chairs are in lieu of, and not in addition to, retainers otherwise paid to members. Employee director does not receive compensation.</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124460" distB="0" distL="0" distR="0" simplePos="0" locked="0" layoutInCell="1" allowOverlap="1" relativeHeight="347">
                <wp:simplePos x="0" y="0"/>
                <wp:positionH relativeFrom="column">
                  <wp:align>left</wp:align>
                </wp:positionH>
                <wp:positionV relativeFrom="line">
                  <wp:align>top</wp:align>
                </wp:positionV>
                <wp:extent cx="203200" cy="204470"/>
                <wp:effectExtent l="0" t="0" r="0" b="0"/>
                <wp:wrapSquare wrapText="right"/>
                <wp:docPr id="310" name="Frame125"/>
                <a:graphic xmlns:a="http://schemas.openxmlformats.org/drawingml/2006/main">
                  <a:graphicData uri="http://schemas.microsoft.com/office/word/2010/wordprocessingShape">
                    <wps:wsp>
                      <wps:cNvSpPr txBox="1"/>
                      <wps:spPr>
                        <a:xfrm>
                          <a:off x="0" y="0"/>
                          <a:ext cx="203200" cy="204470"/>
                        </a:xfrm>
                        <a:prstGeom prst="rect"/>
                        <a:solidFill>
                          <a:srgbClr val="FFFFFF"/>
                        </a:solidFill>
                      </wps:spPr>
                      <wps:txbx>
                        <w:txbxContent>
                          <w:p>
                            <w:pPr>
                              <w:pStyle w:val="TextBody"/>
                              <w:bidi w:val="0"/>
                              <w:spacing w:before="0" w:after="283"/>
                              <w:jc w:val="left"/>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16pt;height:16.1pt;mso-wrap-distance-left:0pt;mso-wrap-distance-right:0pt;mso-wrap-distance-top:9.8pt;mso-wrap-distance-bottom:0pt;margin-top:9.8pt;mso-position-vertical:top;mso-position-vertical-relative:text;margin-left:0pt;mso-position-horizontal:left;mso-position-horizontal-relative:text">
                <v:textbox>
                  <w:txbxContent>
                    <w:p>
                      <w:pPr>
                        <w:pStyle w:val="TextBody"/>
                        <w:bidi w:val="0"/>
                        <w:spacing w:before="0" w:after="283"/>
                        <w:jc w:val="left"/>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440" w:before="562"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DIRECTOR EQUITY PROGRAM</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pacing w:val="-1"/>
          <w:sz w:val="19"/>
          <w:shd w:fill="FFFFFF" w:val="clear"/>
        </w:rPr>
      </w:pPr>
      <w:r>
        <w:rPr>
          <w:rFonts w:ascii="Arial;Helvetica;sans-serif" w:hAnsi="Arial;Helvetica;sans-serif"/>
          <w:b w:val="false"/>
          <w:i w:val="false"/>
          <w:caps w:val="false"/>
          <w:smallCaps w:val="false"/>
          <w:color w:val="000000"/>
          <w:spacing w:val="-1"/>
          <w:sz w:val="19"/>
          <w:shd w:fill="FFFFFF" w:val="clear"/>
        </w:rPr>
        <w:t xml:space="preserve">In addition to the cash compensation outlined above, directors receive annual equity awards. In setting the total dollar value of the equity awards, the Board takes into account cash compensation, limits in the Company’s equity plan governing documents, recommendations of the Compensation and Human Capital Committee and its independent compensation advisor, and Peer Group practices. In fiscal year 2026 the Board modified the director compensation schedule so that equity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30</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50" w:before="120" w:after="1510"/>
        <w:ind w:left="89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grants are aligned with the election of directors at the annual meeting. As a result the Board received a prorated equity grant in January 2026 that will vest in November 2026. Beginning in fiscal year 2027 the Board will receive its annual equity grant on the date of the applicable annual meeting, which for fiscal year 2027 will be held in November.</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For fiscal year 2026, the Company determined the number of restricted stock units awarded by dividing the dollar value of the grant by the closing stock price on the grant date, subject to rounding. For fiscal year 2026, the nominal value of the annual equity award for full-year directors was $220,000. Restricted stock unit awards granted to directors generally vest in one year (or, if earlier, on the day before the next annual meeting). They do not automatically vest upon a director’s departure from the Board. The Compensation and Human Capital Committee may recommend, and the Board may in its sole judgment approve, vesting of a restricted stock unit award upon a director’s departure from the Board if the departing director is found to be in good standing at the time of departure.</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DIRECTOR COMPENSATION TABLE FOR FISCAL YEAR 2026</w:t>
      </w:r>
      <w:r>
        <w:rPr>
          <w:rFonts w:ascii="Tahoma;Geneva;sans-serif" w:hAnsi="Tahoma;Geneva;sans-serif"/>
          <w:b/>
          <w:i w:val="false"/>
          <w:caps w:val="false"/>
          <w:smallCaps w:val="false"/>
          <w:color w:val="000000"/>
          <w:spacing w:val="8"/>
          <w:sz w:val="40"/>
          <w:shd w:fill="FFFFFF" w:val="clear"/>
        </w:rPr>
        <w:t xml:space="preserve"> </w:t>
      </w:r>
    </w:p>
    <w:tbl>
      <w:tblPr>
        <w:tblW w:w="11175" w:type="dxa"/>
        <w:jc w:val="left"/>
        <w:tblInd w:w="893" w:type="dxa"/>
        <w:tblLayout w:type="fixed"/>
        <w:tblCellMar>
          <w:top w:w="0" w:type="dxa"/>
          <w:left w:w="0" w:type="dxa"/>
          <w:bottom w:w="0" w:type="dxa"/>
          <w:right w:w="0" w:type="dxa"/>
        </w:tblCellMar>
      </w:tblPr>
      <w:tblGrid>
        <w:gridCol w:w="124"/>
        <w:gridCol w:w="1561"/>
        <w:gridCol w:w="109"/>
        <w:gridCol w:w="109"/>
        <w:gridCol w:w="781"/>
        <w:gridCol w:w="109"/>
        <w:gridCol w:w="109"/>
        <w:gridCol w:w="880"/>
        <w:gridCol w:w="109"/>
        <w:gridCol w:w="109"/>
        <w:gridCol w:w="856"/>
        <w:gridCol w:w="109"/>
        <w:gridCol w:w="109"/>
        <w:gridCol w:w="1471"/>
        <w:gridCol w:w="109"/>
        <w:gridCol w:w="109"/>
        <w:gridCol w:w="1471"/>
        <w:gridCol w:w="109"/>
        <w:gridCol w:w="109"/>
        <w:gridCol w:w="1471"/>
        <w:gridCol w:w="109"/>
        <w:gridCol w:w="109"/>
        <w:gridCol w:w="880"/>
        <w:gridCol w:w="154"/>
      </w:tblGrid>
      <w:tr>
        <w:trPr/>
        <w:tc>
          <w:tcPr>
            <w:tcW w:w="124" w:type="dxa"/>
            <w:tcBorders/>
            <w:shd w:fill="000000" w:val="clear"/>
            <w:vAlign w:val="center"/>
          </w:tcPr>
          <w:p>
            <w:pPr>
              <w:pStyle w:val="TableContents"/>
              <w:bidi w:val="0"/>
              <w:spacing w:before="0" w:after="283"/>
              <w:jc w:val="left"/>
              <w:rPr/>
            </w:pPr>
            <w:r>
              <w:rPr/>
              <w:t>​</w:t>
            </w:r>
          </w:p>
        </w:tc>
        <w:tc>
          <w:tcPr>
            <w:tcW w:w="1561" w:type="dxa"/>
            <w:tcBorders/>
            <w:shd w:fill="000000" w:val="clear"/>
            <w:vAlign w:val="center"/>
          </w:tcPr>
          <w:p>
            <w:pPr>
              <w:pStyle w:val="TableContents"/>
              <w:bidi w:val="0"/>
              <w:spacing w:before="0" w:after="0"/>
              <w:jc w:val="left"/>
              <w:rPr/>
            </w:pPr>
            <w:r>
              <w:rPr/>
              <w:t xml:space="preserve">Non-Employee Director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781" w:type="dxa"/>
            <w:tcBorders/>
            <w:shd w:fill="000000" w:val="clear"/>
            <w:vAlign w:val="center"/>
          </w:tcPr>
          <w:p>
            <w:pPr>
              <w:pStyle w:val="TableContents"/>
              <w:bidi w:val="0"/>
              <w:spacing w:before="0" w:after="0"/>
              <w:jc w:val="center"/>
              <w:rPr/>
            </w:pPr>
            <w:r>
              <w:rPr/>
              <w:t>Fees Earned or</w:t>
              <w:br/>
              <w:t>Paid in Cash</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80" w:type="dxa"/>
            <w:tcBorders/>
            <w:shd w:fill="000000" w:val="clear"/>
            <w:vAlign w:val="center"/>
          </w:tcPr>
          <w:p>
            <w:pPr>
              <w:pStyle w:val="TableContents"/>
              <w:bidi w:val="0"/>
              <w:spacing w:lineRule="atLeast" w:line="142" w:before="0" w:after="0"/>
              <w:jc w:val="center"/>
              <w:rPr/>
            </w:pPr>
            <w:r>
              <w:rPr/>
              <w:t>Stock</w:t>
              <w:br/>
              <w:t>Awards</w:t>
              <w:br/>
              <w:t>($)</w:t>
            </w:r>
            <w:r>
              <w:rPr>
                <w:sz w:val="10"/>
              </w:rPr>
              <w:t>1</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56" w:type="dxa"/>
            <w:tcBorders/>
            <w:shd w:fill="000000" w:val="clear"/>
            <w:vAlign w:val="center"/>
          </w:tcPr>
          <w:p>
            <w:pPr>
              <w:pStyle w:val="TableContents"/>
              <w:bidi w:val="0"/>
              <w:spacing w:before="0" w:after="0"/>
              <w:jc w:val="center"/>
              <w:rPr/>
            </w:pPr>
            <w:r>
              <w:rPr/>
              <w:t>Option</w:t>
              <w:br/>
              <w:t>Awards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71" w:type="dxa"/>
            <w:tcBorders/>
            <w:shd w:fill="000000" w:val="clear"/>
            <w:vAlign w:val="center"/>
          </w:tcPr>
          <w:p>
            <w:pPr>
              <w:pStyle w:val="TableContents"/>
              <w:bidi w:val="0"/>
              <w:spacing w:before="0" w:after="0"/>
              <w:jc w:val="center"/>
              <w:rPr/>
            </w:pPr>
            <w:r>
              <w:rPr/>
              <w:t>Non-equity</w:t>
              <w:br/>
              <w:t>Incentive</w:t>
              <w:br/>
              <w:t>Plan</w:t>
              <w:br/>
              <w:t>Compensation</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71" w:type="dxa"/>
            <w:tcBorders/>
            <w:shd w:fill="000000" w:val="clear"/>
            <w:vAlign w:val="center"/>
          </w:tcPr>
          <w:p>
            <w:pPr>
              <w:pStyle w:val="TableContents"/>
              <w:bidi w:val="0"/>
              <w:spacing w:before="0" w:after="0"/>
              <w:jc w:val="center"/>
              <w:rPr/>
            </w:pPr>
            <w:r>
              <w:rPr/>
              <w:t>Change in Pension</w:t>
              <w:br/>
              <w:t>Value and</w:t>
              <w:br/>
              <w:t>Nonqualified</w:t>
              <w:br/>
              <w:t>Deferred</w:t>
              <w:br/>
              <w:t>Compensation</w:t>
              <w:br/>
              <w:t xml:space="preserve">Earnings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71" w:type="dxa"/>
            <w:tcBorders/>
            <w:shd w:fill="000000" w:val="clear"/>
            <w:vAlign w:val="center"/>
          </w:tcPr>
          <w:p>
            <w:pPr>
              <w:pStyle w:val="TableContents"/>
              <w:bidi w:val="0"/>
              <w:spacing w:before="0" w:after="0"/>
              <w:jc w:val="center"/>
              <w:rPr/>
            </w:pPr>
            <w:r>
              <w:rPr/>
              <w:t>All Other</w:t>
              <w:br/>
              <w:t>Compensation</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80" w:type="dxa"/>
            <w:tcBorders/>
            <w:shd w:fill="000000" w:val="clear"/>
            <w:vAlign w:val="center"/>
          </w:tcPr>
          <w:p>
            <w:pPr>
              <w:pStyle w:val="TableContents"/>
              <w:bidi w:val="0"/>
              <w:spacing w:before="0" w:after="0"/>
              <w:jc w:val="center"/>
              <w:rPr/>
            </w:pPr>
            <w:r>
              <w:rPr/>
              <w:t>Total</w:t>
              <w:br/>
              <w:t xml:space="preserve">($)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61"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Joseph J. Corasanti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781"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62,500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271,241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56"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333,741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61"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Enrico DiGirolamo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781"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97,500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271,241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56"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368,741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61"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Michael L. Dreyer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781"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57,500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271,241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56"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328,741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61"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Patricia Hatter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781"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50,000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271,241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56"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321,241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61"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Lisa Neal-Graves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781"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50,000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271,241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56"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321,241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61"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David L. Motley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781"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52,500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271,241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56"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323,741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61"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Stephen Pagliuca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781"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50,250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271,241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56"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321,491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61"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Elizabeth A. Patrick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781"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50,250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271,241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56"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321,491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61"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Shaker Sadasivam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781"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52,500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271,241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56"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323,741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61"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Stephen A. Skaggs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781"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65,000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271,241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56"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336,241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61"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Michelle Sterling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781"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55,500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271,241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56"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326,741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61"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Sandeep Vij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781"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50,250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271,241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56"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321,491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61"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Howard H. Xia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78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271,241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56"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50,250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108" w:type="dxa"/>
            </w:tcMar>
            <w:vAlign w:val="center"/>
          </w:tcPr>
          <w:p>
            <w:pPr>
              <w:pStyle w:val="TableContents"/>
              <w:bidi w:val="0"/>
              <w:spacing w:before="0" w:after="0"/>
              <w:jc w:val="center"/>
              <w:rPr/>
            </w:pPr>
            <w:r>
              <w:rPr>
                <w:spacing w:val="-1"/>
              </w:rPr>
              <w:t>321,491</w:t>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200" w:after="0"/>
        <w:ind w:left="1213" w:right="40" w:hanging="0"/>
        <w:jc w:val="left"/>
        <w:rPr>
          <w:rFonts w:ascii="Arial;Helvetica;sans-serif" w:hAnsi="Arial;Helvetica;sans-serif"/>
          <w:b w:val="false"/>
          <w:i w:val="false"/>
          <w:caps w:val="false"/>
          <w:smallCaps w:val="false"/>
          <w:color w:val="000000"/>
          <w:spacing w:val="-1"/>
          <w:sz w:val="14"/>
          <w:shd w:fill="FFFFFF" w:val="clear"/>
        </w:rPr>
      </w:pPr>
      <w:r>
        <w:rPr>
          <w:rFonts w:ascii="Arial;Helvetica;sans-serif" w:hAnsi="Arial;Helvetica;sans-serif"/>
          <w:b w:val="false"/>
          <w:i w:val="false"/>
          <w:caps w:val="false"/>
          <w:smallCaps w:val="false"/>
          <w:color w:val="000000"/>
          <w:spacing w:val="-1"/>
          <w:sz w:val="14"/>
          <w:shd w:fill="FFFFFF" w:val="clear"/>
        </w:rPr>
        <w:t xml:space="preserve">Represents the aggregate grant date fair value of restricted stock units issued to the non-employee directors under the Amended and Restated 2018 Omnibus Incentive Plan and the Coherent Corp. Omnibus Incentive Plan (rounded up to the nearest whole share), computed in accordance with Financial Accounting Standards Board (“FASB”) ASC Topic 718 (excluding the effect of forfeitures). </w:t>
      </w:r>
      <w:r>
        <mc:AlternateContent>
          <mc:Choice Requires="wps">
            <w:drawing>
              <wp:anchor behindDoc="0" distT="127000" distB="0" distL="0" distR="0" simplePos="0" locked="0" layoutInCell="1" allowOverlap="1" relativeHeight="348">
                <wp:simplePos x="0" y="0"/>
                <wp:positionH relativeFrom="column">
                  <wp:align>left</wp:align>
                </wp:positionH>
                <wp:positionV relativeFrom="line">
                  <wp:align>top</wp:align>
                </wp:positionV>
                <wp:extent cx="203200" cy="204470"/>
                <wp:effectExtent l="0" t="0" r="0" b="0"/>
                <wp:wrapSquare wrapText="right"/>
                <wp:docPr id="311" name="Frame126"/>
                <a:graphic xmlns:a="http://schemas.openxmlformats.org/drawingml/2006/main">
                  <a:graphicData uri="http://schemas.microsoft.com/office/word/2010/wordprocessingShape">
                    <wps:wsp>
                      <wps:cNvSpPr txBox="1"/>
                      <wps:spPr>
                        <a:xfrm>
                          <a:off x="0" y="0"/>
                          <a:ext cx="203200" cy="204470"/>
                        </a:xfrm>
                        <a:prstGeom prst="rect"/>
                        <a:solidFill>
                          <a:srgbClr val="FFFFFF"/>
                        </a:solidFill>
                      </wps:spPr>
                      <wps:txbx>
                        <w:txbxContent>
                          <w:p>
                            <w:pPr>
                              <w:pStyle w:val="TextBody"/>
                              <w:bidi w:val="0"/>
                              <w:spacing w:before="0" w:after="283"/>
                              <w:jc w:val="left"/>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16pt;height:16.1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before="0" w:after="283"/>
                        <w:jc w:val="left"/>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31</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440" w:before="120" w:after="2710"/>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DIRECTOR EQUITY AWARDS OUTSTANDING</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following table sets forth the aggregate number of restricted stock units, and the number of shares that underlie exercisable stock options, that were held by the individuals who served as non-employee directors as of June 30, 2026.</w:t>
      </w:r>
      <w:r>
        <w:rPr>
          <w:rFonts w:ascii="Arial;Helvetica;sans-serif" w:hAnsi="Arial;Helvetica;sans-serif"/>
          <w:b w:val="false"/>
          <w:i w:val="false"/>
          <w:caps w:val="false"/>
          <w:smallCaps w:val="false"/>
          <w:color w:val="000000"/>
          <w:spacing w:val="4"/>
          <w:sz w:val="19"/>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2172"/>
        <w:gridCol w:w="109"/>
        <w:gridCol w:w="109"/>
        <w:gridCol w:w="1846"/>
        <w:gridCol w:w="109"/>
        <w:gridCol w:w="109"/>
        <w:gridCol w:w="2079"/>
        <w:gridCol w:w="109"/>
        <w:gridCol w:w="109"/>
        <w:gridCol w:w="2241"/>
        <w:gridCol w:w="156"/>
      </w:tblGrid>
      <w:tr>
        <w:trPr/>
        <w:tc>
          <w:tcPr>
            <w:tcW w:w="124" w:type="dxa"/>
            <w:tcBorders/>
            <w:shd w:fill="000000" w:val="clear"/>
            <w:vAlign w:val="center"/>
          </w:tcPr>
          <w:p>
            <w:pPr>
              <w:pStyle w:val="TableContents"/>
              <w:bidi w:val="0"/>
              <w:spacing w:before="0" w:after="283"/>
              <w:jc w:val="left"/>
              <w:rPr/>
            </w:pPr>
            <w:r>
              <w:rPr/>
              <w:t>​</w:t>
            </w:r>
          </w:p>
        </w:tc>
        <w:tc>
          <w:tcPr>
            <w:tcW w:w="2172" w:type="dxa"/>
            <w:tcBorders/>
            <w:shd w:fill="000000" w:val="clear"/>
            <w:vAlign w:val="center"/>
          </w:tcPr>
          <w:p>
            <w:pPr>
              <w:pStyle w:val="TableContents"/>
              <w:bidi w:val="0"/>
              <w:spacing w:before="0" w:after="0"/>
              <w:jc w:val="left"/>
              <w:rPr/>
            </w:pPr>
            <w:r>
              <w:rPr/>
              <w:t xml:space="preserve">Non-Employee Director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846" w:type="dxa"/>
            <w:tcBorders/>
            <w:shd w:fill="000000" w:val="clear"/>
            <w:vAlign w:val="center"/>
          </w:tcPr>
          <w:p>
            <w:pPr>
              <w:pStyle w:val="TableContents"/>
              <w:bidi w:val="0"/>
              <w:spacing w:before="0" w:after="0"/>
              <w:jc w:val="center"/>
              <w:rPr/>
            </w:pPr>
            <w:r>
              <w:rPr/>
              <w:t>Restricted Stock Units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079" w:type="dxa"/>
            <w:tcBorders/>
            <w:shd w:fill="000000" w:val="clear"/>
            <w:vAlign w:val="center"/>
          </w:tcPr>
          <w:p>
            <w:pPr>
              <w:pStyle w:val="TableContents"/>
              <w:bidi w:val="0"/>
              <w:spacing w:before="0" w:after="0"/>
              <w:jc w:val="center"/>
              <w:rPr/>
            </w:pPr>
            <w:r>
              <w:rPr/>
              <w:t>Total Option Awards Held</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41" w:type="dxa"/>
            <w:tcBorders/>
            <w:shd w:fill="000000" w:val="clear"/>
            <w:vAlign w:val="center"/>
          </w:tcPr>
          <w:p>
            <w:pPr>
              <w:pStyle w:val="TableContents"/>
              <w:bidi w:val="0"/>
              <w:spacing w:before="0" w:after="0"/>
              <w:jc w:val="center"/>
              <w:rPr/>
            </w:pPr>
            <w:r>
              <w:rPr/>
              <w:t>Exercisable Option Awards</w:t>
              <w:br/>
              <w:t xml:space="preserve">(#) </w:t>
            </w:r>
          </w:p>
        </w:tc>
        <w:tc>
          <w:tcPr>
            <w:tcW w:w="156"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172"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Joseph J. Corasanti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846"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2,551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079"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5,812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241"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5,812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172"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Enrico DiGirolamo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846"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2,551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079"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24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172"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Michael L. Dreyer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846"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2,551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079"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6,000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241"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6,000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172"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Patricia Hatter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846"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2,551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079"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5,812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241"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5,812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172"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David L. Motley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846"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2,551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079"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24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172"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Lisa Neal-Graves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846"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2,551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079"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24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172"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Stephen Pagliuca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846"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2,551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079"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24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172"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Elizabeth A. Patrick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846"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2,551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079"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24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172"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Shaker Sadasivam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846"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2,551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079"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24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172"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Stephen A. Skaggs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846"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2,551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079"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24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172"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Michelle Sterling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846"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2,551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079"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24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172"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Sandeep Vij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846"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2,551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079"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241"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172"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Howard H. Xia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846"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2,551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079"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15,532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241" w:type="dxa"/>
            <w:tcBorders>
              <w:bottom w:val="single" w:sz="2" w:space="0" w:color="666666"/>
            </w:tcBorders>
            <w:tcMar>
              <w:bottom w:w="108" w:type="dxa"/>
            </w:tcMar>
            <w:vAlign w:val="center"/>
          </w:tcPr>
          <w:p>
            <w:pPr>
              <w:pStyle w:val="TableContents"/>
              <w:bidi w:val="0"/>
              <w:spacing w:before="0" w:after="0"/>
              <w:jc w:val="center"/>
              <w:rPr/>
            </w:pPr>
            <w:r>
              <w:rPr>
                <w:spacing w:val="-1"/>
              </w:rPr>
              <w:t>15,532</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lineRule="atLeast" w:line="440" w:before="545" w:after="283"/>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DIRECTOR STOCK OWNERSHIP REQUIREMENTS</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Board has a stock ownership program that requires each non-employee director to own shares of Common Stock with a market value of at least five times the annual Board cash retainer (currently $450,000) no later than (i) July 2027 for non-employee directors who were on the Board when the program became effective in July 2022 or (ii) the fifth anniversary of the director joining the Board for non-employee directors who joined the Board after July 2022. In the event of non-compliance, the Board will consider measures appropriate to the circumstances. All non-employee directors currently own shares of Common Stock with a market value exceeding $450,000.</w:t>
      </w:r>
      <w:r>
        <w:rPr>
          <w:rFonts w:ascii="Arial;Helvetica;sans-serif" w:hAnsi="Arial;Helvetica;sans-serif"/>
          <w:b w:val="false"/>
          <w:i w:val="false"/>
          <w:caps w:val="false"/>
          <w:smallCaps w:val="false"/>
          <w:color w:val="000000"/>
          <w:sz w:val="19"/>
          <w:shd w:fill="FFFFFF" w:val="clear"/>
        </w:rPr>
        <w:t xml:space="preserve">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32</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3" w:name="tSOOC"/>
      <w:bookmarkEnd w:id="1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640" w:before="120" w:after="3220"/>
        <w:ind w:left="893" w:right="40" w:hanging="0"/>
        <w:jc w:val="left"/>
        <w:rPr>
          <w:rFonts w:ascii="Tahoma;Geneva;sans-serif" w:hAnsi="Tahoma;Geneva;sans-serif"/>
          <w:b/>
          <w:i w:val="false"/>
          <w:caps w:val="false"/>
          <w:smallCaps w:val="false"/>
          <w:color w:val="0068C7"/>
          <w:sz w:val="60"/>
          <w:shd w:fill="FFFFFF" w:val="clear"/>
        </w:rPr>
      </w:pPr>
      <w:r>
        <w:rPr>
          <w:rFonts w:ascii="Tahoma;Geneva;sans-serif" w:hAnsi="Tahoma;Geneva;sans-serif"/>
          <w:b/>
          <w:i w:val="false"/>
          <w:caps w:val="false"/>
          <w:smallCaps w:val="false"/>
          <w:color w:val="0068C7"/>
          <w:sz w:val="60"/>
          <w:shd w:fill="FFFFFF" w:val="clear"/>
        </w:rPr>
        <w:t>SECURITY OWNERSHIP OF CERTAIN BENEFICIAL OWNERS AND MANAGEMENT</w:t>
      </w:r>
      <w:r>
        <w:rPr>
          <w:rFonts w:ascii="Tahoma;Geneva;sans-serif" w:hAnsi="Tahoma;Geneva;sans-serif"/>
          <w:b/>
          <w:i w:val="false"/>
          <w:caps w:val="false"/>
          <w:smallCaps w:val="false"/>
          <w:color w:val="000000"/>
          <w:spacing w:val="12"/>
          <w:sz w:val="60"/>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STOCK BENEFICIALLY OWNED BY PRINCIPAL SHAREHOLDERS</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following table sets forth certain information regarding the ownership by any person, including any “group” as defined in Section 13(d)(3) of the Securities Exchange Act of 1934, as amended (the “Exchange Act”), known to us to be the beneficial owner of more than 5% of the issued and outstanding shares of Common Stock as of August 31, 2026. Unless otherwise indicated, each of the shareholders named in the table has sole voting and investment power with respect to the shares beneficially owned. Ownership information is as reported by shareholder in their respective filings with the SEC, with the percent of Common Stock determined as of August 31, 2026.</w:t>
      </w:r>
      <w:r>
        <w:rPr>
          <w:rFonts w:ascii="Arial;Helvetica;sans-serif" w:hAnsi="Arial;Helvetica;sans-serif"/>
          <w:b w:val="false"/>
          <w:i w:val="false"/>
          <w:caps w:val="false"/>
          <w:smallCaps w:val="false"/>
          <w:color w:val="000000"/>
          <w:spacing w:val="4"/>
          <w:sz w:val="19"/>
          <w:shd w:fill="FFFFFF" w:val="clear"/>
        </w:rPr>
        <w:t xml:space="preserve"> </w:t>
      </w:r>
    </w:p>
    <w:tbl>
      <w:tblPr>
        <w:tblW w:w="7985" w:type="dxa"/>
        <w:jc w:val="left"/>
        <w:tblInd w:w="893" w:type="dxa"/>
        <w:tblLayout w:type="fixed"/>
        <w:tblCellMar>
          <w:top w:w="0" w:type="dxa"/>
          <w:left w:w="0" w:type="dxa"/>
          <w:bottom w:w="0" w:type="dxa"/>
          <w:right w:w="0" w:type="dxa"/>
        </w:tblCellMar>
      </w:tblPr>
      <w:tblGrid>
        <w:gridCol w:w="124"/>
        <w:gridCol w:w="3174"/>
        <w:gridCol w:w="109"/>
        <w:gridCol w:w="109"/>
        <w:gridCol w:w="2086"/>
        <w:gridCol w:w="109"/>
        <w:gridCol w:w="109"/>
        <w:gridCol w:w="2011"/>
        <w:gridCol w:w="154"/>
      </w:tblGrid>
      <w:tr>
        <w:trPr/>
        <w:tc>
          <w:tcPr>
            <w:tcW w:w="124" w:type="dxa"/>
            <w:tcBorders/>
            <w:shd w:fill="000000" w:val="clear"/>
            <w:vAlign w:val="center"/>
          </w:tcPr>
          <w:p>
            <w:pPr>
              <w:pStyle w:val="TableContents"/>
              <w:bidi w:val="0"/>
              <w:spacing w:before="0" w:after="283"/>
              <w:jc w:val="left"/>
              <w:rPr/>
            </w:pPr>
            <w:r>
              <w:rPr/>
              <w:t>​</w:t>
            </w:r>
          </w:p>
        </w:tc>
        <w:tc>
          <w:tcPr>
            <w:tcW w:w="3174" w:type="dxa"/>
            <w:tcBorders/>
            <w:shd w:fill="000000" w:val="clear"/>
            <w:vAlign w:val="center"/>
          </w:tcPr>
          <w:p>
            <w:pPr>
              <w:pStyle w:val="TableContents"/>
              <w:bidi w:val="0"/>
              <w:spacing w:before="0" w:after="0"/>
              <w:jc w:val="left"/>
              <w:rPr/>
            </w:pPr>
            <w:r>
              <w:rPr/>
              <w:t xml:space="preserve">Name and Address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086" w:type="dxa"/>
            <w:tcBorders/>
            <w:shd w:fill="000000" w:val="clear"/>
            <w:vAlign w:val="center"/>
          </w:tcPr>
          <w:p>
            <w:pPr>
              <w:pStyle w:val="TableContents"/>
              <w:bidi w:val="0"/>
              <w:spacing w:before="0" w:after="0"/>
              <w:jc w:val="center"/>
              <w:rPr/>
            </w:pPr>
            <w:r>
              <w:rPr/>
              <w:t>Number of Shares of</w:t>
              <w:br/>
              <w:t xml:space="preserve">Common Stock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011" w:type="dxa"/>
            <w:tcBorders/>
            <w:shd w:fill="000000" w:val="clear"/>
            <w:vAlign w:val="center"/>
          </w:tcPr>
          <w:p>
            <w:pPr>
              <w:pStyle w:val="TableContents"/>
              <w:bidi w:val="0"/>
              <w:spacing w:lineRule="atLeast" w:line="142" w:before="0" w:after="0"/>
              <w:jc w:val="center"/>
              <w:rPr/>
            </w:pPr>
            <w:r>
              <w:rPr/>
              <w:t>Percent of Common</w:t>
              <w:br/>
              <w:t>Stock</w:t>
            </w:r>
            <w:r>
              <w:rPr>
                <w:sz w:val="10"/>
              </w:rPr>
              <w:t>1</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3174" w:type="dxa"/>
            <w:tcBorders>
              <w:bottom w:val="single" w:sz="2" w:space="0" w:color="666666"/>
            </w:tcBorders>
            <w:tcMar>
              <w:bottom w:w="84" w:type="dxa"/>
            </w:tcMar>
            <w:vAlign w:val="center"/>
          </w:tcPr>
          <w:p>
            <w:pPr>
              <w:pStyle w:val="TableContents"/>
              <w:bidi w:val="0"/>
              <w:spacing w:before="0" w:after="283"/>
              <w:jc w:val="left"/>
              <w:rPr/>
            </w:pPr>
            <w:r>
              <w:rPr>
                <w:spacing w:val="-1"/>
              </w:rPr>
              <w:t>Vanguard Capital Management</w:t>
            </w:r>
            <w:r>
              <w:rPr>
                <w:spacing w:val="-1"/>
                <w:szCs w:val="12"/>
              </w:rPr>
              <w:t>﻿</w:t>
            </w:r>
            <w:r>
              <w:rPr>
                <w:spacing w:val="-1"/>
                <w:sz w:val="12"/>
              </w:rPr>
              <w:t>2</w:t>
            </w:r>
            <w:r>
              <w:rPr/>
              <w:t xml:space="preserve"> </w:t>
              <w:br/>
            </w:r>
            <w:r>
              <w:rPr>
                <w:spacing w:val="-1"/>
              </w:rPr>
              <w:t xml:space="preserve">100 Vanguard Blvd. </w:t>
              <w:br/>
              <w:t xml:space="preserve">Malvern, PA 19355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086" w:type="dxa"/>
            <w:tcBorders>
              <w:bottom w:val="single" w:sz="2" w:space="0" w:color="666666"/>
            </w:tcBorders>
            <w:tcMar>
              <w:bottom w:w="84" w:type="dxa"/>
            </w:tcMar>
            <w:vAlign w:val="center"/>
          </w:tcPr>
          <w:p>
            <w:pPr>
              <w:pStyle w:val="TableContents"/>
              <w:bidi w:val="0"/>
              <w:spacing w:before="0" w:after="0"/>
              <w:jc w:val="center"/>
              <w:rPr>
                <w:spacing w:val="-1"/>
              </w:rPr>
            </w:pPr>
            <w:r>
              <w:rPr>
                <w:spacing w:val="-1"/>
              </w:rPr>
              <w:t xml:space="preserve">13,968,914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011" w:type="dxa"/>
            <w:tcBorders>
              <w:bottom w:val="single" w:sz="2" w:space="0" w:color="666666"/>
            </w:tcBorders>
            <w:tcMar>
              <w:bottom w:w="84" w:type="dxa"/>
            </w:tcMar>
            <w:vAlign w:val="center"/>
          </w:tcPr>
          <w:p>
            <w:pPr>
              <w:pStyle w:val="TableContents"/>
              <w:bidi w:val="0"/>
              <w:spacing w:before="0" w:after="0"/>
              <w:jc w:val="center"/>
              <w:rPr>
                <w:spacing w:val="-1"/>
              </w:rPr>
            </w:pPr>
            <w:r>
              <w:rPr>
                <w:spacing w:val="-1"/>
              </w:rPr>
              <w:t xml:space="preserve">7.1%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3174" w:type="dxa"/>
            <w:tcBorders>
              <w:bottom w:val="single" w:sz="2" w:space="0" w:color="666666"/>
            </w:tcBorders>
            <w:tcMar>
              <w:bottom w:w="84" w:type="dxa"/>
            </w:tcMar>
            <w:vAlign w:val="center"/>
          </w:tcPr>
          <w:p>
            <w:pPr>
              <w:pStyle w:val="TableContents"/>
              <w:bidi w:val="0"/>
              <w:spacing w:before="0" w:after="283"/>
              <w:jc w:val="left"/>
              <w:rPr/>
            </w:pPr>
            <w:r>
              <w:rPr>
                <w:spacing w:val="-1"/>
              </w:rPr>
              <w:t>BlackRock, Inc.</w:t>
            </w:r>
            <w:r>
              <w:rPr>
                <w:spacing w:val="-1"/>
                <w:szCs w:val="12"/>
              </w:rPr>
              <w:t>﻿</w:t>
            </w:r>
            <w:r>
              <w:rPr>
                <w:spacing w:val="-1"/>
                <w:sz w:val="12"/>
              </w:rPr>
              <w:t>3</w:t>
            </w:r>
            <w:r>
              <w:rPr/>
              <w:t xml:space="preserve"> </w:t>
              <w:br/>
            </w:r>
            <w:r>
              <w:rPr>
                <w:spacing w:val="-1"/>
              </w:rPr>
              <w:t xml:space="preserve">50 Hudson Yards </w:t>
              <w:br/>
              <w:t xml:space="preserve">New York, NY 10001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086" w:type="dxa"/>
            <w:tcBorders>
              <w:bottom w:val="single" w:sz="2" w:space="0" w:color="666666"/>
            </w:tcBorders>
            <w:tcMar>
              <w:bottom w:w="84" w:type="dxa"/>
            </w:tcMar>
            <w:vAlign w:val="center"/>
          </w:tcPr>
          <w:p>
            <w:pPr>
              <w:pStyle w:val="TableContents"/>
              <w:bidi w:val="0"/>
              <w:spacing w:before="0" w:after="0"/>
              <w:jc w:val="center"/>
              <w:rPr>
                <w:spacing w:val="-1"/>
              </w:rPr>
            </w:pPr>
            <w:r>
              <w:rPr>
                <w:spacing w:val="-1"/>
              </w:rPr>
              <w:t xml:space="preserve">12,978,940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011" w:type="dxa"/>
            <w:tcBorders>
              <w:bottom w:val="single" w:sz="2" w:space="0" w:color="666666"/>
            </w:tcBorders>
            <w:tcMar>
              <w:bottom w:w="84" w:type="dxa"/>
            </w:tcMar>
            <w:vAlign w:val="center"/>
          </w:tcPr>
          <w:p>
            <w:pPr>
              <w:pStyle w:val="TableContents"/>
              <w:bidi w:val="0"/>
              <w:spacing w:before="0" w:after="0"/>
              <w:jc w:val="center"/>
              <w:rPr>
                <w:spacing w:val="-1"/>
              </w:rPr>
            </w:pPr>
            <w:r>
              <w:rPr>
                <w:spacing w:val="-1"/>
              </w:rPr>
              <w:t xml:space="preserve">6.6%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3174" w:type="dxa"/>
            <w:tcBorders>
              <w:bottom w:val="single" w:sz="2" w:space="0" w:color="666666"/>
            </w:tcBorders>
            <w:tcMar>
              <w:bottom w:w="84" w:type="dxa"/>
            </w:tcMar>
            <w:vAlign w:val="center"/>
          </w:tcPr>
          <w:p>
            <w:pPr>
              <w:pStyle w:val="TableContents"/>
              <w:bidi w:val="0"/>
              <w:spacing w:before="0" w:after="283"/>
              <w:jc w:val="left"/>
              <w:rPr/>
            </w:pPr>
            <w:r>
              <w:rPr>
                <w:spacing w:val="-1"/>
              </w:rPr>
              <w:t>FMR LLC</w:t>
            </w:r>
            <w:r>
              <w:rPr>
                <w:spacing w:val="-1"/>
                <w:szCs w:val="12"/>
              </w:rPr>
              <w:t>﻿</w:t>
            </w:r>
            <w:r>
              <w:rPr>
                <w:spacing w:val="-1"/>
                <w:sz w:val="12"/>
              </w:rPr>
              <w:t>4</w:t>
            </w:r>
            <w:r>
              <w:rPr/>
              <w:t xml:space="preserve"> </w:t>
              <w:br/>
            </w:r>
            <w:r>
              <w:rPr>
                <w:spacing w:val="-1"/>
              </w:rPr>
              <w:t xml:space="preserve">245 Summer Street </w:t>
              <w:br/>
              <w:t xml:space="preserve">Boston, MA 02210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086" w:type="dxa"/>
            <w:tcBorders>
              <w:bottom w:val="single" w:sz="2" w:space="0" w:color="666666"/>
            </w:tcBorders>
            <w:tcMar>
              <w:bottom w:w="84" w:type="dxa"/>
            </w:tcMar>
            <w:vAlign w:val="center"/>
          </w:tcPr>
          <w:p>
            <w:pPr>
              <w:pStyle w:val="TableContents"/>
              <w:bidi w:val="0"/>
              <w:spacing w:before="0" w:after="0"/>
              <w:jc w:val="center"/>
              <w:rPr>
                <w:spacing w:val="-1"/>
              </w:rPr>
            </w:pPr>
            <w:r>
              <w:rPr>
                <w:spacing w:val="-1"/>
              </w:rPr>
              <w:t xml:space="preserve">11,006,110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011" w:type="dxa"/>
            <w:tcBorders>
              <w:bottom w:val="single" w:sz="2" w:space="0" w:color="666666"/>
            </w:tcBorders>
            <w:tcMar>
              <w:bottom w:w="84" w:type="dxa"/>
            </w:tcMar>
            <w:vAlign w:val="center"/>
          </w:tcPr>
          <w:p>
            <w:pPr>
              <w:pStyle w:val="TableContents"/>
              <w:bidi w:val="0"/>
              <w:spacing w:before="0" w:after="0"/>
              <w:jc w:val="center"/>
              <w:rPr/>
            </w:pPr>
            <w:r>
              <w:rPr>
                <w:spacing w:val="-1"/>
              </w:rPr>
              <w:t>5.6%</w:t>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20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There were 196,934,659 shares of Common Stock outstanding as of August 31, 2026. Percentages are rounded to the nearest tenth.</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127000" distB="0" distL="0" distR="0" simplePos="0" locked="0" layoutInCell="1" allowOverlap="1" relativeHeight="349">
                <wp:simplePos x="0" y="0"/>
                <wp:positionH relativeFrom="column">
                  <wp:align>left</wp:align>
                </wp:positionH>
                <wp:positionV relativeFrom="line">
                  <wp:align>top</wp:align>
                </wp:positionV>
                <wp:extent cx="203200" cy="204470"/>
                <wp:effectExtent l="0" t="0" r="0" b="0"/>
                <wp:wrapSquare wrapText="right"/>
                <wp:docPr id="312" name="Frame127"/>
                <a:graphic xmlns:a="http://schemas.openxmlformats.org/drawingml/2006/main">
                  <a:graphicData uri="http://schemas.microsoft.com/office/word/2010/wordprocessingShape">
                    <wps:wsp>
                      <wps:cNvSpPr txBox="1"/>
                      <wps:spPr>
                        <a:xfrm>
                          <a:off x="0" y="0"/>
                          <a:ext cx="203200" cy="204470"/>
                        </a:xfrm>
                        <a:prstGeom prst="rect"/>
                        <a:solidFill>
                          <a:srgbClr val="FFFFFF"/>
                        </a:solidFill>
                      </wps:spPr>
                      <wps:txbx>
                        <w:txbxContent>
                          <w:p>
                            <w:pPr>
                              <w:pStyle w:val="TextBody"/>
                              <w:bidi w:val="0"/>
                              <w:spacing w:before="0" w:after="283"/>
                              <w:jc w:val="left"/>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16pt;height:16.1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before="0" w:after="283"/>
                        <w:jc w:val="left"/>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Based solely on a Schedule 13G filed with the SEC on April 29. 2026, Vanguard Capital Management reported sole voting power over 1,789,305 shares of Common Stock and sole dispositive power over 13,968,914 shares of Common Stock. As reported in the Schedule 13G, certain shares reported by Vanguard Capital Management are owned by various affiliates of Vanguard Capital Management.</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50800" distB="0" distL="0" distR="0" simplePos="0" locked="0" layoutInCell="1" allowOverlap="1" relativeHeight="350">
                <wp:simplePos x="0" y="0"/>
                <wp:positionH relativeFrom="column">
                  <wp:align>left</wp:align>
                </wp:positionH>
                <wp:positionV relativeFrom="line">
                  <wp:align>top</wp:align>
                </wp:positionV>
                <wp:extent cx="203200" cy="228600"/>
                <wp:effectExtent l="0" t="0" r="0" b="0"/>
                <wp:wrapSquare wrapText="right"/>
                <wp:docPr id="313" name="Frame128"/>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2.</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2.</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Based solely on a Schedule 13G/A filed with the SEC on April 24, 2026, BlackRock, Inc., reported sole voting power over 12,190,574 shares of Common Stock and sole dispositive power over 12,978,940 shares of Common Stock. As reported in the Schedule 13G/A, certain shares reported by BlackRock, Inc., are owned by various business units of BlackRock, Inc., and its subsidiaries and affiliates.</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50800" distB="0" distL="0" distR="0" simplePos="0" locked="0" layoutInCell="1" allowOverlap="1" relativeHeight="351">
                <wp:simplePos x="0" y="0"/>
                <wp:positionH relativeFrom="column">
                  <wp:align>left</wp:align>
                </wp:positionH>
                <wp:positionV relativeFrom="line">
                  <wp:align>top</wp:align>
                </wp:positionV>
                <wp:extent cx="203200" cy="228600"/>
                <wp:effectExtent l="0" t="0" r="0" b="0"/>
                <wp:wrapSquare wrapText="right"/>
                <wp:docPr id="314" name="Frame129"/>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3.</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3.</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213" w:right="40" w:hanging="0"/>
        <w:jc w:val="left"/>
        <w:rPr>
          <w:rFonts w:ascii="Arial;Helvetica;sans-serif" w:hAnsi="Arial;Helvetica;sans-serif"/>
          <w:b w:val="false"/>
          <w:i w:val="false"/>
          <w:caps w:val="false"/>
          <w:smallCaps w:val="false"/>
          <w:color w:val="000000"/>
          <w:spacing w:val="-1"/>
          <w:sz w:val="14"/>
          <w:shd w:fill="FFFFFF" w:val="clear"/>
        </w:rPr>
      </w:pPr>
      <w:r>
        <w:rPr>
          <w:rFonts w:ascii="Arial;Helvetica;sans-serif" w:hAnsi="Arial;Helvetica;sans-serif"/>
          <w:b w:val="false"/>
          <w:i w:val="false"/>
          <w:caps w:val="false"/>
          <w:smallCaps w:val="false"/>
          <w:color w:val="000000"/>
          <w:spacing w:val="-1"/>
          <w:sz w:val="14"/>
          <w:shd w:fill="FFFFFF" w:val="clear"/>
        </w:rPr>
        <w:t xml:space="preserve">Based solely on a Schedule 13G/A filed with the SEC on July 8, 2026, FMR LLC reported sole voting power over 10,281,318.34 shares of Common Stock and sole dispositive power over 11,006,110.43 shares of Common Stock. </w:t>
      </w:r>
      <w:r>
        <mc:AlternateContent>
          <mc:Choice Requires="wps">
            <w:drawing>
              <wp:anchor behindDoc="0" distT="50800" distB="0" distL="0" distR="0" simplePos="0" locked="0" layoutInCell="1" allowOverlap="1" relativeHeight="352">
                <wp:simplePos x="0" y="0"/>
                <wp:positionH relativeFrom="column">
                  <wp:align>left</wp:align>
                </wp:positionH>
                <wp:positionV relativeFrom="line">
                  <wp:align>top</wp:align>
                </wp:positionV>
                <wp:extent cx="203200" cy="228600"/>
                <wp:effectExtent l="0" t="0" r="0" b="0"/>
                <wp:wrapSquare wrapText="right"/>
                <wp:docPr id="315" name="Frame130"/>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4.</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4.</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33</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440" w:before="120" w:after="283"/>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STOCK BENEFICIALLY OWNED BY DIRECTORS AND OFFICERS</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following table shows the number of shares of Common Stock beneficially owned, as of August 31, 2026, by all directors, our named executive officers, and all of our current executive officers and directors as a group. The beneficial ownership reflected in this table includes shares that could be acquired within 60 days of that date through the exercise of stock options or vesting of restricted stock units. The number of shares “beneficially owned” is defined by Rule 13d-3 under the Exchange Act. Unless otherwise indicated, each individual and member of the group has sole voting power and sole investment power with respect to shares owned. None of the shares reflected in the table below have been pledged as security.</w:t>
      </w:r>
      <w:r>
        <w:rPr>
          <w:rFonts w:ascii="Arial;Helvetica;sans-serif" w:hAnsi="Arial;Helvetica;sans-serif"/>
          <w:b w:val="false"/>
          <w:i w:val="false"/>
          <w:caps w:val="false"/>
          <w:smallCaps w:val="false"/>
          <w:color w:val="000000"/>
          <w:spacing w:val="4"/>
          <w:sz w:val="19"/>
          <w:shd w:fill="FFFFFF" w:val="clear"/>
        </w:rPr>
        <w:t xml:space="preserve"> </w:t>
      </w:r>
    </w:p>
    <w:tbl>
      <w:tblPr>
        <w:tblW w:w="9272" w:type="dxa"/>
        <w:jc w:val="left"/>
        <w:tblInd w:w="893" w:type="dxa"/>
        <w:tblLayout w:type="fixed"/>
        <w:tblCellMar>
          <w:top w:w="0" w:type="dxa"/>
          <w:left w:w="0" w:type="dxa"/>
          <w:bottom w:w="28" w:type="dxa"/>
          <w:right w:w="0" w:type="dxa"/>
        </w:tblCellMar>
      </w:tblPr>
      <w:tblGrid>
        <w:gridCol w:w="124"/>
        <w:gridCol w:w="5301"/>
        <w:gridCol w:w="109"/>
        <w:gridCol w:w="109"/>
        <w:gridCol w:w="1608"/>
        <w:gridCol w:w="187"/>
        <w:gridCol w:w="187"/>
        <w:gridCol w:w="1489"/>
        <w:gridCol w:w="158"/>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5301"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3471" w:type="dxa"/>
            <w:gridSpan w:val="4"/>
            <w:tcBorders>
              <w:bottom w:val="single" w:sz="2" w:space="0" w:color="FFFFFF"/>
            </w:tcBorders>
            <w:shd w:fill="000000" w:val="clear"/>
            <w:tcMar>
              <w:bottom w:w="50" w:type="dxa"/>
            </w:tcMar>
            <w:vAlign w:val="center"/>
          </w:tcPr>
          <w:p>
            <w:pPr>
              <w:pStyle w:val="TableContents"/>
              <w:bidi w:val="0"/>
              <w:spacing w:lineRule="atLeast" w:line="142" w:before="0" w:after="0"/>
              <w:jc w:val="center"/>
              <w:rPr/>
            </w:pPr>
            <w:r>
              <w:rPr/>
              <w:t>Beneficial Ownership of Common Stock</w:t>
            </w:r>
            <w:r>
              <w:rPr>
                <w:sz w:val="10"/>
              </w:rPr>
              <w:t>1</w:t>
            </w:r>
          </w:p>
        </w:tc>
        <w:tc>
          <w:tcPr>
            <w:tcW w:w="158" w:type="dxa"/>
            <w:tcBorders>
              <w:bottom w:val="single" w:sz="2" w:space="0" w:color="000000"/>
            </w:tcBorders>
            <w:shd w:fill="000000" w:val="clear"/>
            <w:vAlign w:val="center"/>
          </w:tcPr>
          <w:p>
            <w:pPr>
              <w:pStyle w:val="TableContents"/>
              <w:bidi w:val="0"/>
              <w:spacing w:before="0" w:after="283"/>
              <w:jc w:val="left"/>
              <w:rPr/>
            </w:pPr>
            <w:r>
              <w:rPr/>
              <w:t>​</w:t>
            </w:r>
          </w:p>
        </w:tc>
      </w:tr>
      <w:tr>
        <w:trPr/>
        <w:tc>
          <w:tcPr>
            <w:tcW w:w="124" w:type="dxa"/>
            <w:tcBorders/>
            <w:shd w:fill="000000" w:val="clear"/>
            <w:tcMar>
              <w:bottom w:w="0" w:type="dxa"/>
            </w:tcMar>
            <w:vAlign w:val="center"/>
          </w:tcPr>
          <w:p>
            <w:pPr>
              <w:pStyle w:val="TableContents"/>
              <w:bidi w:val="0"/>
              <w:spacing w:before="0" w:after="283"/>
              <w:jc w:val="left"/>
              <w:rPr/>
            </w:pPr>
            <w:r>
              <w:rPr/>
              <w:t>​</w:t>
            </w:r>
          </w:p>
        </w:tc>
        <w:tc>
          <w:tcPr>
            <w:tcW w:w="5301"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608" w:type="dxa"/>
            <w:tcBorders/>
            <w:shd w:fill="000000" w:val="clear"/>
            <w:tcMar>
              <w:bottom w:w="0" w:type="dxa"/>
            </w:tcMar>
            <w:vAlign w:val="center"/>
          </w:tcPr>
          <w:p>
            <w:pPr>
              <w:pStyle w:val="TableContents"/>
              <w:bidi w:val="0"/>
              <w:spacing w:before="0" w:after="0"/>
              <w:jc w:val="center"/>
              <w:rPr/>
            </w:pPr>
            <w:r>
              <w:rPr/>
              <w:t xml:space="preserve">Shares </w:t>
            </w:r>
          </w:p>
        </w:tc>
        <w:tc>
          <w:tcPr>
            <w:tcW w:w="187" w:type="dxa"/>
            <w:tcBorders/>
            <w:shd w:fill="000000" w:val="clear"/>
            <w:tcMar>
              <w:bottom w:w="0" w:type="dxa"/>
            </w:tcMar>
            <w:vAlign w:val="center"/>
          </w:tcPr>
          <w:p>
            <w:pPr>
              <w:pStyle w:val="TableContents"/>
              <w:bidi w:val="0"/>
              <w:spacing w:before="0" w:after="283"/>
              <w:jc w:val="left"/>
              <w:rPr/>
            </w:pPr>
            <w:r>
              <w:rPr/>
              <w:t>​</w:t>
            </w:r>
          </w:p>
        </w:tc>
        <w:tc>
          <w:tcPr>
            <w:tcW w:w="187" w:type="dxa"/>
            <w:tcBorders/>
            <w:shd w:fill="000000" w:val="clear"/>
            <w:tcMar>
              <w:bottom w:w="0" w:type="dxa"/>
            </w:tcMar>
            <w:vAlign w:val="center"/>
          </w:tcPr>
          <w:p>
            <w:pPr>
              <w:pStyle w:val="TableContents"/>
              <w:bidi w:val="0"/>
              <w:spacing w:before="0" w:after="283"/>
              <w:jc w:val="left"/>
              <w:rPr/>
            </w:pPr>
            <w:r>
              <w:rPr/>
              <w:t>​</w:t>
            </w:r>
          </w:p>
        </w:tc>
        <w:tc>
          <w:tcPr>
            <w:tcW w:w="1489" w:type="dxa"/>
            <w:tcBorders/>
            <w:shd w:fill="000000" w:val="clear"/>
            <w:tcMar>
              <w:bottom w:w="0" w:type="dxa"/>
            </w:tcMar>
            <w:vAlign w:val="center"/>
          </w:tcPr>
          <w:p>
            <w:pPr>
              <w:pStyle w:val="TableContents"/>
              <w:bidi w:val="0"/>
              <w:spacing w:before="0" w:after="0"/>
              <w:jc w:val="center"/>
              <w:rPr/>
            </w:pPr>
            <w:r>
              <w:rPr/>
              <w:t xml:space="preserve">Percent </w:t>
            </w:r>
          </w:p>
        </w:tc>
        <w:tc>
          <w:tcPr>
            <w:tcW w:w="158" w:type="dxa"/>
            <w:tcBorders/>
            <w:shd w:fill="000000"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301" w:type="dxa"/>
            <w:tcBorders>
              <w:bottom w:val="single" w:sz="2" w:space="0" w:color="666666"/>
            </w:tcBorders>
            <w:tcMar>
              <w:bottom w:w="108" w:type="dxa"/>
            </w:tcMar>
            <w:vAlign w:val="center"/>
          </w:tcPr>
          <w:p>
            <w:pPr>
              <w:pStyle w:val="TableContents"/>
              <w:bidi w:val="0"/>
              <w:spacing w:before="0" w:after="283"/>
              <w:jc w:val="left"/>
              <w:rPr/>
            </w:pPr>
            <w:r>
              <w:rPr>
                <w:spacing w:val="-1"/>
              </w:rPr>
              <w:t>James R. Anderson</w:t>
            </w:r>
            <w:r>
              <w:rPr>
                <w:spacing w:val="-1"/>
                <w:sz w:val="12"/>
              </w:rPr>
              <w:t>2</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608"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60,229 </w:t>
            </w:r>
          </w:p>
        </w:tc>
        <w:tc>
          <w:tcPr>
            <w:tcW w:w="187" w:type="dxa"/>
            <w:tcBorders>
              <w:bottom w:val="single" w:sz="2" w:space="0" w:color="666666"/>
            </w:tcBorders>
            <w:vAlign w:val="center"/>
          </w:tcPr>
          <w:p>
            <w:pPr>
              <w:pStyle w:val="TableContents"/>
              <w:bidi w:val="0"/>
              <w:spacing w:before="0" w:after="283"/>
              <w:jc w:val="left"/>
              <w:rPr/>
            </w:pPr>
            <w:r>
              <w:rPr/>
              <w:t>​</w:t>
            </w:r>
          </w:p>
        </w:tc>
        <w:tc>
          <w:tcPr>
            <w:tcW w:w="187" w:type="dxa"/>
            <w:tcBorders>
              <w:bottom w:val="single" w:sz="2" w:space="0" w:color="666666"/>
            </w:tcBorders>
            <w:vAlign w:val="center"/>
          </w:tcPr>
          <w:p>
            <w:pPr>
              <w:pStyle w:val="TableContents"/>
              <w:bidi w:val="0"/>
              <w:spacing w:before="0" w:after="283"/>
              <w:jc w:val="left"/>
              <w:rPr/>
            </w:pPr>
            <w:r>
              <w:rPr/>
              <w:t>​</w:t>
            </w:r>
          </w:p>
        </w:tc>
        <w:tc>
          <w:tcPr>
            <w:tcW w:w="1489"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 </w:t>
            </w:r>
          </w:p>
        </w:tc>
        <w:tc>
          <w:tcPr>
            <w:tcW w:w="158"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301" w:type="dxa"/>
            <w:tcBorders>
              <w:bottom w:val="single" w:sz="2" w:space="0" w:color="666666"/>
            </w:tcBorders>
            <w:tcMar>
              <w:bottom w:w="108" w:type="dxa"/>
            </w:tcMar>
            <w:vAlign w:val="center"/>
          </w:tcPr>
          <w:p>
            <w:pPr>
              <w:pStyle w:val="TableContents"/>
              <w:bidi w:val="0"/>
              <w:spacing w:before="0" w:after="283"/>
              <w:jc w:val="left"/>
              <w:rPr/>
            </w:pPr>
            <w:r>
              <w:rPr>
                <w:spacing w:val="-1"/>
              </w:rPr>
              <w:t>Joseph J. Corasanti</w:t>
            </w:r>
            <w:r>
              <w:rPr>
                <w:spacing w:val="-1"/>
                <w:sz w:val="12"/>
              </w:rPr>
              <w:t>2,3</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608"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85,726 </w:t>
            </w:r>
          </w:p>
        </w:tc>
        <w:tc>
          <w:tcPr>
            <w:tcW w:w="187" w:type="dxa"/>
            <w:tcBorders>
              <w:bottom w:val="single" w:sz="2" w:space="0" w:color="666666"/>
            </w:tcBorders>
            <w:vAlign w:val="center"/>
          </w:tcPr>
          <w:p>
            <w:pPr>
              <w:pStyle w:val="TableContents"/>
              <w:bidi w:val="0"/>
              <w:spacing w:before="0" w:after="283"/>
              <w:jc w:val="left"/>
              <w:rPr/>
            </w:pPr>
            <w:r>
              <w:rPr/>
              <w:t>​</w:t>
            </w:r>
          </w:p>
        </w:tc>
        <w:tc>
          <w:tcPr>
            <w:tcW w:w="187" w:type="dxa"/>
            <w:tcBorders>
              <w:bottom w:val="single" w:sz="2" w:space="0" w:color="666666"/>
            </w:tcBorders>
            <w:vAlign w:val="center"/>
          </w:tcPr>
          <w:p>
            <w:pPr>
              <w:pStyle w:val="TableContents"/>
              <w:bidi w:val="0"/>
              <w:spacing w:before="0" w:after="283"/>
              <w:jc w:val="left"/>
              <w:rPr/>
            </w:pPr>
            <w:r>
              <w:rPr/>
              <w:t>​</w:t>
            </w:r>
          </w:p>
        </w:tc>
        <w:tc>
          <w:tcPr>
            <w:tcW w:w="1489"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 </w:t>
            </w:r>
          </w:p>
        </w:tc>
        <w:tc>
          <w:tcPr>
            <w:tcW w:w="158"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301" w:type="dxa"/>
            <w:tcBorders>
              <w:bottom w:val="single" w:sz="2" w:space="0" w:color="666666"/>
            </w:tcBorders>
            <w:tcMar>
              <w:bottom w:w="108" w:type="dxa"/>
            </w:tcMar>
            <w:vAlign w:val="center"/>
          </w:tcPr>
          <w:p>
            <w:pPr>
              <w:pStyle w:val="TableContents"/>
              <w:bidi w:val="0"/>
              <w:spacing w:before="0" w:after="283"/>
              <w:jc w:val="left"/>
              <w:rPr/>
            </w:pPr>
            <w:r>
              <w:rPr>
                <w:spacing w:val="-1"/>
              </w:rPr>
              <w:t>Enrico DiGirolamo</w:t>
            </w:r>
            <w:r>
              <w:rPr>
                <w:spacing w:val="-1"/>
                <w:sz w:val="12"/>
              </w:rPr>
              <w:t>2,3</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608"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16,959 </w:t>
            </w:r>
          </w:p>
        </w:tc>
        <w:tc>
          <w:tcPr>
            <w:tcW w:w="187" w:type="dxa"/>
            <w:tcBorders>
              <w:bottom w:val="single" w:sz="2" w:space="0" w:color="666666"/>
            </w:tcBorders>
            <w:vAlign w:val="center"/>
          </w:tcPr>
          <w:p>
            <w:pPr>
              <w:pStyle w:val="TableContents"/>
              <w:bidi w:val="0"/>
              <w:spacing w:before="0" w:after="283"/>
              <w:jc w:val="left"/>
              <w:rPr/>
            </w:pPr>
            <w:r>
              <w:rPr/>
              <w:t>​</w:t>
            </w:r>
          </w:p>
        </w:tc>
        <w:tc>
          <w:tcPr>
            <w:tcW w:w="187" w:type="dxa"/>
            <w:tcBorders>
              <w:bottom w:val="single" w:sz="2" w:space="0" w:color="666666"/>
            </w:tcBorders>
            <w:vAlign w:val="center"/>
          </w:tcPr>
          <w:p>
            <w:pPr>
              <w:pStyle w:val="TableContents"/>
              <w:bidi w:val="0"/>
              <w:spacing w:before="0" w:after="283"/>
              <w:jc w:val="left"/>
              <w:rPr/>
            </w:pPr>
            <w:r>
              <w:rPr/>
              <w:t>​</w:t>
            </w:r>
          </w:p>
        </w:tc>
        <w:tc>
          <w:tcPr>
            <w:tcW w:w="1489"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 </w:t>
            </w:r>
          </w:p>
        </w:tc>
        <w:tc>
          <w:tcPr>
            <w:tcW w:w="158"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301" w:type="dxa"/>
            <w:tcBorders>
              <w:bottom w:val="single" w:sz="2" w:space="0" w:color="666666"/>
            </w:tcBorders>
            <w:tcMar>
              <w:bottom w:w="108" w:type="dxa"/>
            </w:tcMar>
            <w:vAlign w:val="center"/>
          </w:tcPr>
          <w:p>
            <w:pPr>
              <w:pStyle w:val="TableContents"/>
              <w:bidi w:val="0"/>
              <w:spacing w:before="0" w:after="283"/>
              <w:jc w:val="left"/>
              <w:rPr/>
            </w:pPr>
            <w:r>
              <w:rPr>
                <w:spacing w:val="-1"/>
              </w:rPr>
              <w:t>Michael L. Dreyer</w:t>
            </w:r>
            <w:r>
              <w:rPr>
                <w:spacing w:val="-1"/>
                <w:sz w:val="12"/>
              </w:rPr>
              <w:t>2,3</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608"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18,085 </w:t>
            </w:r>
          </w:p>
        </w:tc>
        <w:tc>
          <w:tcPr>
            <w:tcW w:w="187" w:type="dxa"/>
            <w:tcBorders>
              <w:bottom w:val="single" w:sz="2" w:space="0" w:color="666666"/>
            </w:tcBorders>
            <w:vAlign w:val="center"/>
          </w:tcPr>
          <w:p>
            <w:pPr>
              <w:pStyle w:val="TableContents"/>
              <w:bidi w:val="0"/>
              <w:spacing w:before="0" w:after="283"/>
              <w:jc w:val="left"/>
              <w:rPr/>
            </w:pPr>
            <w:r>
              <w:rPr/>
              <w:t>​</w:t>
            </w:r>
          </w:p>
        </w:tc>
        <w:tc>
          <w:tcPr>
            <w:tcW w:w="187" w:type="dxa"/>
            <w:tcBorders>
              <w:bottom w:val="single" w:sz="2" w:space="0" w:color="666666"/>
            </w:tcBorders>
            <w:vAlign w:val="center"/>
          </w:tcPr>
          <w:p>
            <w:pPr>
              <w:pStyle w:val="TableContents"/>
              <w:bidi w:val="0"/>
              <w:spacing w:before="0" w:after="283"/>
              <w:jc w:val="left"/>
              <w:rPr/>
            </w:pPr>
            <w:r>
              <w:rPr/>
              <w:t>​</w:t>
            </w:r>
          </w:p>
        </w:tc>
        <w:tc>
          <w:tcPr>
            <w:tcW w:w="1489"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 </w:t>
            </w:r>
          </w:p>
        </w:tc>
        <w:tc>
          <w:tcPr>
            <w:tcW w:w="158"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301" w:type="dxa"/>
            <w:tcBorders>
              <w:bottom w:val="single" w:sz="2" w:space="0" w:color="666666"/>
            </w:tcBorders>
            <w:tcMar>
              <w:bottom w:w="108" w:type="dxa"/>
            </w:tcMar>
            <w:vAlign w:val="center"/>
          </w:tcPr>
          <w:p>
            <w:pPr>
              <w:pStyle w:val="TableContents"/>
              <w:bidi w:val="0"/>
              <w:spacing w:before="0" w:after="283"/>
              <w:jc w:val="left"/>
              <w:rPr/>
            </w:pPr>
            <w:r>
              <w:rPr>
                <w:spacing w:val="-1"/>
              </w:rPr>
              <w:t>Patricia Hatter</w:t>
            </w:r>
            <w:r>
              <w:rPr>
                <w:spacing w:val="-1"/>
                <w:sz w:val="12"/>
              </w:rPr>
              <w:t>2,3</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608"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29,392 </w:t>
            </w:r>
          </w:p>
        </w:tc>
        <w:tc>
          <w:tcPr>
            <w:tcW w:w="187" w:type="dxa"/>
            <w:tcBorders>
              <w:bottom w:val="single" w:sz="2" w:space="0" w:color="666666"/>
            </w:tcBorders>
            <w:vAlign w:val="center"/>
          </w:tcPr>
          <w:p>
            <w:pPr>
              <w:pStyle w:val="TableContents"/>
              <w:bidi w:val="0"/>
              <w:spacing w:before="0" w:after="283"/>
              <w:jc w:val="left"/>
              <w:rPr/>
            </w:pPr>
            <w:r>
              <w:rPr/>
              <w:t>​</w:t>
            </w:r>
          </w:p>
        </w:tc>
        <w:tc>
          <w:tcPr>
            <w:tcW w:w="187" w:type="dxa"/>
            <w:tcBorders>
              <w:bottom w:val="single" w:sz="2" w:space="0" w:color="666666"/>
            </w:tcBorders>
            <w:vAlign w:val="center"/>
          </w:tcPr>
          <w:p>
            <w:pPr>
              <w:pStyle w:val="TableContents"/>
              <w:bidi w:val="0"/>
              <w:spacing w:before="0" w:after="283"/>
              <w:jc w:val="left"/>
              <w:rPr/>
            </w:pPr>
            <w:r>
              <w:rPr/>
              <w:t>​</w:t>
            </w:r>
          </w:p>
        </w:tc>
        <w:tc>
          <w:tcPr>
            <w:tcW w:w="1489"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 </w:t>
            </w:r>
          </w:p>
        </w:tc>
        <w:tc>
          <w:tcPr>
            <w:tcW w:w="158"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301" w:type="dxa"/>
            <w:tcBorders>
              <w:bottom w:val="single" w:sz="2" w:space="0" w:color="666666"/>
            </w:tcBorders>
            <w:tcMar>
              <w:bottom w:w="108" w:type="dxa"/>
            </w:tcMar>
            <w:vAlign w:val="center"/>
          </w:tcPr>
          <w:p>
            <w:pPr>
              <w:pStyle w:val="TableContents"/>
              <w:bidi w:val="0"/>
              <w:spacing w:before="0" w:after="283"/>
              <w:jc w:val="left"/>
              <w:rPr/>
            </w:pPr>
            <w:r>
              <w:rPr>
                <w:spacing w:val="-1"/>
              </w:rPr>
              <w:t>David L. Motley</w:t>
            </w:r>
            <w:r>
              <w:rPr>
                <w:spacing w:val="-1"/>
                <w:sz w:val="12"/>
              </w:rPr>
              <w:t>2</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608"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25,918 </w:t>
            </w:r>
          </w:p>
        </w:tc>
        <w:tc>
          <w:tcPr>
            <w:tcW w:w="187" w:type="dxa"/>
            <w:tcBorders>
              <w:bottom w:val="single" w:sz="2" w:space="0" w:color="666666"/>
            </w:tcBorders>
            <w:vAlign w:val="center"/>
          </w:tcPr>
          <w:p>
            <w:pPr>
              <w:pStyle w:val="TableContents"/>
              <w:bidi w:val="0"/>
              <w:spacing w:before="0" w:after="283"/>
              <w:jc w:val="left"/>
              <w:rPr/>
            </w:pPr>
            <w:r>
              <w:rPr/>
              <w:t>​</w:t>
            </w:r>
          </w:p>
        </w:tc>
        <w:tc>
          <w:tcPr>
            <w:tcW w:w="187" w:type="dxa"/>
            <w:tcBorders>
              <w:bottom w:val="single" w:sz="2" w:space="0" w:color="666666"/>
            </w:tcBorders>
            <w:vAlign w:val="center"/>
          </w:tcPr>
          <w:p>
            <w:pPr>
              <w:pStyle w:val="TableContents"/>
              <w:bidi w:val="0"/>
              <w:spacing w:before="0" w:after="283"/>
              <w:jc w:val="left"/>
              <w:rPr/>
            </w:pPr>
            <w:r>
              <w:rPr/>
              <w:t>​</w:t>
            </w:r>
          </w:p>
        </w:tc>
        <w:tc>
          <w:tcPr>
            <w:tcW w:w="1489"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 </w:t>
            </w:r>
          </w:p>
        </w:tc>
        <w:tc>
          <w:tcPr>
            <w:tcW w:w="158"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301" w:type="dxa"/>
            <w:tcBorders>
              <w:bottom w:val="single" w:sz="2" w:space="0" w:color="666666"/>
            </w:tcBorders>
            <w:tcMar>
              <w:bottom w:w="108" w:type="dxa"/>
            </w:tcMar>
            <w:vAlign w:val="center"/>
          </w:tcPr>
          <w:p>
            <w:pPr>
              <w:pStyle w:val="TableContents"/>
              <w:bidi w:val="0"/>
              <w:spacing w:before="0" w:after="283"/>
              <w:jc w:val="left"/>
              <w:rPr/>
            </w:pPr>
            <w:r>
              <w:rPr>
                <w:spacing w:val="-1"/>
              </w:rPr>
              <w:t>Lisa Neal-Graves</w:t>
            </w:r>
            <w:r>
              <w:rPr>
                <w:spacing w:val="-1"/>
                <w:sz w:val="12"/>
              </w:rPr>
              <w:t>2</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608"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14,954 </w:t>
            </w:r>
          </w:p>
        </w:tc>
        <w:tc>
          <w:tcPr>
            <w:tcW w:w="187" w:type="dxa"/>
            <w:tcBorders>
              <w:bottom w:val="single" w:sz="2" w:space="0" w:color="666666"/>
            </w:tcBorders>
            <w:vAlign w:val="center"/>
          </w:tcPr>
          <w:p>
            <w:pPr>
              <w:pStyle w:val="TableContents"/>
              <w:bidi w:val="0"/>
              <w:spacing w:before="0" w:after="283"/>
              <w:jc w:val="left"/>
              <w:rPr/>
            </w:pPr>
            <w:r>
              <w:rPr/>
              <w:t>​</w:t>
            </w:r>
          </w:p>
        </w:tc>
        <w:tc>
          <w:tcPr>
            <w:tcW w:w="187" w:type="dxa"/>
            <w:tcBorders>
              <w:bottom w:val="single" w:sz="2" w:space="0" w:color="666666"/>
            </w:tcBorders>
            <w:vAlign w:val="center"/>
          </w:tcPr>
          <w:p>
            <w:pPr>
              <w:pStyle w:val="TableContents"/>
              <w:bidi w:val="0"/>
              <w:spacing w:before="0" w:after="283"/>
              <w:jc w:val="left"/>
              <w:rPr/>
            </w:pPr>
            <w:r>
              <w:rPr/>
              <w:t>​</w:t>
            </w:r>
          </w:p>
        </w:tc>
        <w:tc>
          <w:tcPr>
            <w:tcW w:w="1489"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 </w:t>
            </w:r>
          </w:p>
        </w:tc>
        <w:tc>
          <w:tcPr>
            <w:tcW w:w="158"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301" w:type="dxa"/>
            <w:tcBorders>
              <w:bottom w:val="single" w:sz="2" w:space="0" w:color="666666"/>
            </w:tcBorders>
            <w:tcMar>
              <w:bottom w:w="108" w:type="dxa"/>
            </w:tcMar>
            <w:vAlign w:val="center"/>
          </w:tcPr>
          <w:p>
            <w:pPr>
              <w:pStyle w:val="TableContents"/>
              <w:bidi w:val="0"/>
              <w:spacing w:before="0" w:after="283"/>
              <w:jc w:val="left"/>
              <w:rPr/>
            </w:pPr>
            <w:r>
              <w:rPr>
                <w:spacing w:val="-1"/>
              </w:rPr>
              <w:t>Stephen Pagliuca</w:t>
            </w:r>
            <w:r>
              <w:rPr>
                <w:spacing w:val="-1"/>
                <w:sz w:val="12"/>
              </w:rPr>
              <w:t>2</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608"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18,468 </w:t>
            </w:r>
          </w:p>
        </w:tc>
        <w:tc>
          <w:tcPr>
            <w:tcW w:w="187" w:type="dxa"/>
            <w:tcBorders>
              <w:bottom w:val="single" w:sz="2" w:space="0" w:color="666666"/>
            </w:tcBorders>
            <w:vAlign w:val="center"/>
          </w:tcPr>
          <w:p>
            <w:pPr>
              <w:pStyle w:val="TableContents"/>
              <w:bidi w:val="0"/>
              <w:spacing w:before="0" w:after="283"/>
              <w:jc w:val="left"/>
              <w:rPr/>
            </w:pPr>
            <w:r>
              <w:rPr/>
              <w:t>​</w:t>
            </w:r>
          </w:p>
        </w:tc>
        <w:tc>
          <w:tcPr>
            <w:tcW w:w="187" w:type="dxa"/>
            <w:tcBorders>
              <w:bottom w:val="single" w:sz="2" w:space="0" w:color="666666"/>
            </w:tcBorders>
            <w:vAlign w:val="center"/>
          </w:tcPr>
          <w:p>
            <w:pPr>
              <w:pStyle w:val="TableContents"/>
              <w:bidi w:val="0"/>
              <w:spacing w:before="0" w:after="283"/>
              <w:jc w:val="left"/>
              <w:rPr/>
            </w:pPr>
            <w:r>
              <w:rPr/>
              <w:t>​</w:t>
            </w:r>
          </w:p>
        </w:tc>
        <w:tc>
          <w:tcPr>
            <w:tcW w:w="1489"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 </w:t>
            </w:r>
          </w:p>
        </w:tc>
        <w:tc>
          <w:tcPr>
            <w:tcW w:w="158"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301" w:type="dxa"/>
            <w:tcBorders>
              <w:bottom w:val="single" w:sz="2" w:space="0" w:color="666666"/>
            </w:tcBorders>
            <w:tcMar>
              <w:bottom w:w="108" w:type="dxa"/>
            </w:tcMar>
            <w:vAlign w:val="center"/>
          </w:tcPr>
          <w:p>
            <w:pPr>
              <w:pStyle w:val="TableContents"/>
              <w:bidi w:val="0"/>
              <w:spacing w:before="0" w:after="283"/>
              <w:jc w:val="left"/>
              <w:rPr/>
            </w:pPr>
            <w:r>
              <w:rPr>
                <w:spacing w:val="-1"/>
              </w:rPr>
              <w:t>Elizabeth A. Patrick</w:t>
            </w:r>
            <w:r>
              <w:rPr>
                <w:spacing w:val="-1"/>
                <w:sz w:val="12"/>
              </w:rPr>
              <w:t>2</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608"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5,103 </w:t>
            </w:r>
          </w:p>
        </w:tc>
        <w:tc>
          <w:tcPr>
            <w:tcW w:w="187" w:type="dxa"/>
            <w:tcBorders>
              <w:bottom w:val="single" w:sz="2" w:space="0" w:color="666666"/>
            </w:tcBorders>
            <w:vAlign w:val="center"/>
          </w:tcPr>
          <w:p>
            <w:pPr>
              <w:pStyle w:val="TableContents"/>
              <w:bidi w:val="0"/>
              <w:spacing w:before="0" w:after="283"/>
              <w:jc w:val="left"/>
              <w:rPr/>
            </w:pPr>
            <w:r>
              <w:rPr/>
              <w:t>​</w:t>
            </w:r>
          </w:p>
        </w:tc>
        <w:tc>
          <w:tcPr>
            <w:tcW w:w="187" w:type="dxa"/>
            <w:tcBorders>
              <w:bottom w:val="single" w:sz="2" w:space="0" w:color="666666"/>
            </w:tcBorders>
            <w:vAlign w:val="center"/>
          </w:tcPr>
          <w:p>
            <w:pPr>
              <w:pStyle w:val="TableContents"/>
              <w:bidi w:val="0"/>
              <w:spacing w:before="0" w:after="283"/>
              <w:jc w:val="left"/>
              <w:rPr/>
            </w:pPr>
            <w:r>
              <w:rPr/>
              <w:t>​</w:t>
            </w:r>
          </w:p>
        </w:tc>
        <w:tc>
          <w:tcPr>
            <w:tcW w:w="1489"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 </w:t>
            </w:r>
          </w:p>
        </w:tc>
        <w:tc>
          <w:tcPr>
            <w:tcW w:w="158"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301" w:type="dxa"/>
            <w:tcBorders>
              <w:bottom w:val="single" w:sz="2" w:space="0" w:color="666666"/>
            </w:tcBorders>
            <w:tcMar>
              <w:bottom w:w="108" w:type="dxa"/>
            </w:tcMar>
            <w:vAlign w:val="center"/>
          </w:tcPr>
          <w:p>
            <w:pPr>
              <w:pStyle w:val="TableContents"/>
              <w:bidi w:val="0"/>
              <w:spacing w:before="0" w:after="283"/>
              <w:jc w:val="left"/>
              <w:rPr/>
            </w:pPr>
            <w:r>
              <w:rPr>
                <w:spacing w:val="-1"/>
              </w:rPr>
              <w:t>Shaker Sadasivam</w:t>
            </w:r>
            <w:r>
              <w:rPr>
                <w:spacing w:val="-1"/>
                <w:sz w:val="12"/>
              </w:rPr>
              <w:t>2</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608"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40,894 </w:t>
            </w:r>
          </w:p>
        </w:tc>
        <w:tc>
          <w:tcPr>
            <w:tcW w:w="187" w:type="dxa"/>
            <w:tcBorders>
              <w:bottom w:val="single" w:sz="2" w:space="0" w:color="666666"/>
            </w:tcBorders>
            <w:vAlign w:val="center"/>
          </w:tcPr>
          <w:p>
            <w:pPr>
              <w:pStyle w:val="TableContents"/>
              <w:bidi w:val="0"/>
              <w:spacing w:before="0" w:after="283"/>
              <w:jc w:val="left"/>
              <w:rPr/>
            </w:pPr>
            <w:r>
              <w:rPr/>
              <w:t>​</w:t>
            </w:r>
          </w:p>
        </w:tc>
        <w:tc>
          <w:tcPr>
            <w:tcW w:w="187" w:type="dxa"/>
            <w:tcBorders>
              <w:bottom w:val="single" w:sz="2" w:space="0" w:color="666666"/>
            </w:tcBorders>
            <w:vAlign w:val="center"/>
          </w:tcPr>
          <w:p>
            <w:pPr>
              <w:pStyle w:val="TableContents"/>
              <w:bidi w:val="0"/>
              <w:spacing w:before="0" w:after="283"/>
              <w:jc w:val="left"/>
              <w:rPr/>
            </w:pPr>
            <w:r>
              <w:rPr/>
              <w:t>​</w:t>
            </w:r>
          </w:p>
        </w:tc>
        <w:tc>
          <w:tcPr>
            <w:tcW w:w="1489"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 </w:t>
            </w:r>
          </w:p>
        </w:tc>
        <w:tc>
          <w:tcPr>
            <w:tcW w:w="158"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301" w:type="dxa"/>
            <w:tcBorders>
              <w:bottom w:val="single" w:sz="2" w:space="0" w:color="666666"/>
            </w:tcBorders>
            <w:tcMar>
              <w:bottom w:w="108" w:type="dxa"/>
            </w:tcMar>
            <w:vAlign w:val="center"/>
          </w:tcPr>
          <w:p>
            <w:pPr>
              <w:pStyle w:val="TableContents"/>
              <w:bidi w:val="0"/>
              <w:spacing w:before="0" w:after="283"/>
              <w:jc w:val="left"/>
              <w:rPr/>
            </w:pPr>
            <w:r>
              <w:rPr>
                <w:spacing w:val="-1"/>
              </w:rPr>
              <w:t>Stephen A. Skaggs</w:t>
            </w:r>
            <w:r>
              <w:rPr>
                <w:spacing w:val="-1"/>
                <w:sz w:val="12"/>
              </w:rPr>
              <w:t>2</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608"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14,313 </w:t>
            </w:r>
          </w:p>
        </w:tc>
        <w:tc>
          <w:tcPr>
            <w:tcW w:w="187" w:type="dxa"/>
            <w:tcBorders>
              <w:bottom w:val="single" w:sz="2" w:space="0" w:color="666666"/>
            </w:tcBorders>
            <w:vAlign w:val="center"/>
          </w:tcPr>
          <w:p>
            <w:pPr>
              <w:pStyle w:val="TableContents"/>
              <w:bidi w:val="0"/>
              <w:spacing w:before="0" w:after="283"/>
              <w:jc w:val="left"/>
              <w:rPr/>
            </w:pPr>
            <w:r>
              <w:rPr/>
              <w:t>​</w:t>
            </w:r>
          </w:p>
        </w:tc>
        <w:tc>
          <w:tcPr>
            <w:tcW w:w="187" w:type="dxa"/>
            <w:tcBorders>
              <w:bottom w:val="single" w:sz="2" w:space="0" w:color="666666"/>
            </w:tcBorders>
            <w:vAlign w:val="center"/>
          </w:tcPr>
          <w:p>
            <w:pPr>
              <w:pStyle w:val="TableContents"/>
              <w:bidi w:val="0"/>
              <w:spacing w:before="0" w:after="283"/>
              <w:jc w:val="left"/>
              <w:rPr/>
            </w:pPr>
            <w:r>
              <w:rPr/>
              <w:t>​</w:t>
            </w:r>
          </w:p>
        </w:tc>
        <w:tc>
          <w:tcPr>
            <w:tcW w:w="1489"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 </w:t>
            </w:r>
          </w:p>
        </w:tc>
        <w:tc>
          <w:tcPr>
            <w:tcW w:w="158"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301" w:type="dxa"/>
            <w:tcBorders>
              <w:bottom w:val="single" w:sz="2" w:space="0" w:color="666666"/>
            </w:tcBorders>
            <w:tcMar>
              <w:bottom w:w="108" w:type="dxa"/>
            </w:tcMar>
            <w:vAlign w:val="center"/>
          </w:tcPr>
          <w:p>
            <w:pPr>
              <w:pStyle w:val="TableContents"/>
              <w:bidi w:val="0"/>
              <w:spacing w:before="0" w:after="283"/>
              <w:jc w:val="left"/>
              <w:rPr/>
            </w:pPr>
            <w:r>
              <w:rPr>
                <w:spacing w:val="-1"/>
              </w:rPr>
              <w:t>Michelle Sterling</w:t>
            </w:r>
            <w:r>
              <w:rPr>
                <w:spacing w:val="-1"/>
                <w:sz w:val="12"/>
              </w:rPr>
              <w:t>2</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608"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8,645 </w:t>
            </w:r>
          </w:p>
        </w:tc>
        <w:tc>
          <w:tcPr>
            <w:tcW w:w="187" w:type="dxa"/>
            <w:tcBorders>
              <w:bottom w:val="single" w:sz="2" w:space="0" w:color="666666"/>
            </w:tcBorders>
            <w:vAlign w:val="center"/>
          </w:tcPr>
          <w:p>
            <w:pPr>
              <w:pStyle w:val="TableContents"/>
              <w:bidi w:val="0"/>
              <w:spacing w:before="0" w:after="283"/>
              <w:jc w:val="left"/>
              <w:rPr/>
            </w:pPr>
            <w:r>
              <w:rPr/>
              <w:t>​</w:t>
            </w:r>
          </w:p>
        </w:tc>
        <w:tc>
          <w:tcPr>
            <w:tcW w:w="187" w:type="dxa"/>
            <w:tcBorders>
              <w:bottom w:val="single" w:sz="2" w:space="0" w:color="666666"/>
            </w:tcBorders>
            <w:vAlign w:val="center"/>
          </w:tcPr>
          <w:p>
            <w:pPr>
              <w:pStyle w:val="TableContents"/>
              <w:bidi w:val="0"/>
              <w:spacing w:before="0" w:after="283"/>
              <w:jc w:val="left"/>
              <w:rPr/>
            </w:pPr>
            <w:r>
              <w:rPr/>
              <w:t>​</w:t>
            </w:r>
          </w:p>
        </w:tc>
        <w:tc>
          <w:tcPr>
            <w:tcW w:w="1489"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 </w:t>
            </w:r>
          </w:p>
        </w:tc>
        <w:tc>
          <w:tcPr>
            <w:tcW w:w="158"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301" w:type="dxa"/>
            <w:tcBorders>
              <w:bottom w:val="single" w:sz="2" w:space="0" w:color="666666"/>
            </w:tcBorders>
            <w:tcMar>
              <w:bottom w:w="108" w:type="dxa"/>
            </w:tcMar>
            <w:vAlign w:val="center"/>
          </w:tcPr>
          <w:p>
            <w:pPr>
              <w:pStyle w:val="TableContents"/>
              <w:bidi w:val="0"/>
              <w:spacing w:before="0" w:after="283"/>
              <w:jc w:val="left"/>
              <w:rPr/>
            </w:pPr>
            <w:r>
              <w:rPr>
                <w:spacing w:val="-1"/>
              </w:rPr>
              <w:t>Sandeep Vij</w:t>
            </w:r>
            <w:r>
              <w:rPr>
                <w:spacing w:val="-1"/>
                <w:sz w:val="12"/>
              </w:rPr>
              <w:t>2,4</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608"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24,467 </w:t>
            </w:r>
          </w:p>
        </w:tc>
        <w:tc>
          <w:tcPr>
            <w:tcW w:w="187" w:type="dxa"/>
            <w:tcBorders>
              <w:bottom w:val="single" w:sz="2" w:space="0" w:color="666666"/>
            </w:tcBorders>
            <w:vAlign w:val="center"/>
          </w:tcPr>
          <w:p>
            <w:pPr>
              <w:pStyle w:val="TableContents"/>
              <w:bidi w:val="0"/>
              <w:spacing w:before="0" w:after="283"/>
              <w:jc w:val="left"/>
              <w:rPr/>
            </w:pPr>
            <w:r>
              <w:rPr/>
              <w:t>​</w:t>
            </w:r>
          </w:p>
        </w:tc>
        <w:tc>
          <w:tcPr>
            <w:tcW w:w="187" w:type="dxa"/>
            <w:tcBorders>
              <w:bottom w:val="single" w:sz="2" w:space="0" w:color="666666"/>
            </w:tcBorders>
            <w:vAlign w:val="center"/>
          </w:tcPr>
          <w:p>
            <w:pPr>
              <w:pStyle w:val="TableContents"/>
              <w:bidi w:val="0"/>
              <w:spacing w:before="0" w:after="283"/>
              <w:jc w:val="left"/>
              <w:rPr/>
            </w:pPr>
            <w:r>
              <w:rPr/>
              <w:t>​</w:t>
            </w:r>
          </w:p>
        </w:tc>
        <w:tc>
          <w:tcPr>
            <w:tcW w:w="1489"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 </w:t>
            </w:r>
          </w:p>
        </w:tc>
        <w:tc>
          <w:tcPr>
            <w:tcW w:w="158"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301" w:type="dxa"/>
            <w:tcBorders>
              <w:bottom w:val="single" w:sz="2" w:space="0" w:color="666666"/>
            </w:tcBorders>
            <w:tcMar>
              <w:bottom w:w="108" w:type="dxa"/>
            </w:tcMar>
            <w:vAlign w:val="center"/>
          </w:tcPr>
          <w:p>
            <w:pPr>
              <w:pStyle w:val="TableContents"/>
              <w:bidi w:val="0"/>
              <w:spacing w:before="0" w:after="283"/>
              <w:jc w:val="left"/>
              <w:rPr/>
            </w:pPr>
            <w:r>
              <w:rPr>
                <w:spacing w:val="-1"/>
              </w:rPr>
              <w:t>Howard H. Xia</w:t>
            </w:r>
            <w:r>
              <w:rPr>
                <w:spacing w:val="-1"/>
                <w:sz w:val="12"/>
              </w:rPr>
              <w:t>2,3</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608"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65,551 </w:t>
            </w:r>
          </w:p>
        </w:tc>
        <w:tc>
          <w:tcPr>
            <w:tcW w:w="187" w:type="dxa"/>
            <w:tcBorders>
              <w:bottom w:val="single" w:sz="2" w:space="0" w:color="666666"/>
            </w:tcBorders>
            <w:vAlign w:val="center"/>
          </w:tcPr>
          <w:p>
            <w:pPr>
              <w:pStyle w:val="TableContents"/>
              <w:bidi w:val="0"/>
              <w:spacing w:before="0" w:after="283"/>
              <w:jc w:val="left"/>
              <w:rPr/>
            </w:pPr>
            <w:r>
              <w:rPr/>
              <w:t>​</w:t>
            </w:r>
          </w:p>
        </w:tc>
        <w:tc>
          <w:tcPr>
            <w:tcW w:w="187" w:type="dxa"/>
            <w:tcBorders>
              <w:bottom w:val="single" w:sz="2" w:space="0" w:color="666666"/>
            </w:tcBorders>
            <w:vAlign w:val="center"/>
          </w:tcPr>
          <w:p>
            <w:pPr>
              <w:pStyle w:val="TableContents"/>
              <w:bidi w:val="0"/>
              <w:spacing w:before="0" w:after="283"/>
              <w:jc w:val="left"/>
              <w:rPr/>
            </w:pPr>
            <w:r>
              <w:rPr/>
              <w:t>​</w:t>
            </w:r>
          </w:p>
        </w:tc>
        <w:tc>
          <w:tcPr>
            <w:tcW w:w="1489"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 </w:t>
            </w:r>
          </w:p>
        </w:tc>
        <w:tc>
          <w:tcPr>
            <w:tcW w:w="158"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301" w:type="dxa"/>
            <w:tcBorders>
              <w:bottom w:val="single" w:sz="2" w:space="0" w:color="666666"/>
            </w:tcBorders>
            <w:tcMar>
              <w:bottom w:w="108" w:type="dxa"/>
            </w:tcMar>
            <w:vAlign w:val="center"/>
          </w:tcPr>
          <w:p>
            <w:pPr>
              <w:pStyle w:val="TableContents"/>
              <w:bidi w:val="0"/>
              <w:spacing w:before="0" w:after="283"/>
              <w:jc w:val="left"/>
              <w:rPr/>
            </w:pPr>
            <w:r>
              <w:rPr>
                <w:spacing w:val="-1"/>
              </w:rPr>
              <w:t>Sherri Luther</w:t>
            </w:r>
            <w:r>
              <w:rPr>
                <w:spacing w:val="-1"/>
                <w:sz w:val="12"/>
              </w:rPr>
              <w:t>2</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608"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9,484 </w:t>
            </w:r>
          </w:p>
        </w:tc>
        <w:tc>
          <w:tcPr>
            <w:tcW w:w="187" w:type="dxa"/>
            <w:tcBorders>
              <w:bottom w:val="single" w:sz="2" w:space="0" w:color="666666"/>
            </w:tcBorders>
            <w:vAlign w:val="center"/>
          </w:tcPr>
          <w:p>
            <w:pPr>
              <w:pStyle w:val="TableContents"/>
              <w:bidi w:val="0"/>
              <w:spacing w:before="0" w:after="283"/>
              <w:jc w:val="left"/>
              <w:rPr/>
            </w:pPr>
            <w:r>
              <w:rPr/>
              <w:t>​</w:t>
            </w:r>
          </w:p>
        </w:tc>
        <w:tc>
          <w:tcPr>
            <w:tcW w:w="187" w:type="dxa"/>
            <w:tcBorders>
              <w:bottom w:val="single" w:sz="2" w:space="0" w:color="666666"/>
            </w:tcBorders>
            <w:vAlign w:val="center"/>
          </w:tcPr>
          <w:p>
            <w:pPr>
              <w:pStyle w:val="TableContents"/>
              <w:bidi w:val="0"/>
              <w:spacing w:before="0" w:after="283"/>
              <w:jc w:val="left"/>
              <w:rPr/>
            </w:pPr>
            <w:r>
              <w:rPr/>
              <w:t>​</w:t>
            </w:r>
          </w:p>
        </w:tc>
        <w:tc>
          <w:tcPr>
            <w:tcW w:w="1489"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 </w:t>
            </w:r>
          </w:p>
        </w:tc>
        <w:tc>
          <w:tcPr>
            <w:tcW w:w="158"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301" w:type="dxa"/>
            <w:tcBorders>
              <w:bottom w:val="single" w:sz="2" w:space="0" w:color="666666"/>
            </w:tcBorders>
            <w:tcMar>
              <w:bottom w:w="108" w:type="dxa"/>
            </w:tcMar>
            <w:vAlign w:val="center"/>
          </w:tcPr>
          <w:p>
            <w:pPr>
              <w:pStyle w:val="TableContents"/>
              <w:bidi w:val="0"/>
              <w:spacing w:before="0" w:after="283"/>
              <w:jc w:val="left"/>
              <w:rPr/>
            </w:pPr>
            <w:r>
              <w:rPr>
                <w:spacing w:val="-1"/>
              </w:rPr>
              <w:t>Rob Beard</w:t>
            </w:r>
            <w:r>
              <w:rPr>
                <w:spacing w:val="-1"/>
                <w:sz w:val="12"/>
              </w:rPr>
              <w:t>2</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608"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10,861 </w:t>
            </w:r>
          </w:p>
        </w:tc>
        <w:tc>
          <w:tcPr>
            <w:tcW w:w="187" w:type="dxa"/>
            <w:tcBorders>
              <w:bottom w:val="single" w:sz="2" w:space="0" w:color="666666"/>
            </w:tcBorders>
            <w:vAlign w:val="center"/>
          </w:tcPr>
          <w:p>
            <w:pPr>
              <w:pStyle w:val="TableContents"/>
              <w:bidi w:val="0"/>
              <w:spacing w:before="0" w:after="283"/>
              <w:jc w:val="left"/>
              <w:rPr/>
            </w:pPr>
            <w:r>
              <w:rPr/>
              <w:t>​</w:t>
            </w:r>
          </w:p>
        </w:tc>
        <w:tc>
          <w:tcPr>
            <w:tcW w:w="187" w:type="dxa"/>
            <w:tcBorders>
              <w:bottom w:val="single" w:sz="2" w:space="0" w:color="666666"/>
            </w:tcBorders>
            <w:vAlign w:val="center"/>
          </w:tcPr>
          <w:p>
            <w:pPr>
              <w:pStyle w:val="TableContents"/>
              <w:bidi w:val="0"/>
              <w:spacing w:before="0" w:after="283"/>
              <w:jc w:val="left"/>
              <w:rPr/>
            </w:pPr>
            <w:r>
              <w:rPr/>
              <w:t>​</w:t>
            </w:r>
          </w:p>
        </w:tc>
        <w:tc>
          <w:tcPr>
            <w:tcW w:w="1489"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 </w:t>
            </w:r>
          </w:p>
        </w:tc>
        <w:tc>
          <w:tcPr>
            <w:tcW w:w="158"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301" w:type="dxa"/>
            <w:tcBorders>
              <w:bottom w:val="single" w:sz="2" w:space="0" w:color="666666"/>
            </w:tcBorders>
            <w:tcMar>
              <w:bottom w:w="108" w:type="dxa"/>
            </w:tcMar>
            <w:vAlign w:val="center"/>
          </w:tcPr>
          <w:p>
            <w:pPr>
              <w:pStyle w:val="TableContents"/>
              <w:bidi w:val="0"/>
              <w:spacing w:before="0" w:after="283"/>
              <w:jc w:val="left"/>
              <w:rPr/>
            </w:pPr>
            <w:r>
              <w:rPr>
                <w:spacing w:val="-1"/>
              </w:rPr>
              <w:t>Julie Eng</w:t>
            </w:r>
            <w:r>
              <w:rPr>
                <w:spacing w:val="-1"/>
                <w:sz w:val="12"/>
              </w:rPr>
              <w:t>2</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608"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17,252 </w:t>
            </w:r>
          </w:p>
        </w:tc>
        <w:tc>
          <w:tcPr>
            <w:tcW w:w="187" w:type="dxa"/>
            <w:tcBorders>
              <w:bottom w:val="single" w:sz="2" w:space="0" w:color="666666"/>
            </w:tcBorders>
            <w:vAlign w:val="center"/>
          </w:tcPr>
          <w:p>
            <w:pPr>
              <w:pStyle w:val="TableContents"/>
              <w:bidi w:val="0"/>
              <w:spacing w:before="0" w:after="283"/>
              <w:jc w:val="left"/>
              <w:rPr/>
            </w:pPr>
            <w:r>
              <w:rPr/>
              <w:t>​</w:t>
            </w:r>
          </w:p>
        </w:tc>
        <w:tc>
          <w:tcPr>
            <w:tcW w:w="187" w:type="dxa"/>
            <w:tcBorders>
              <w:bottom w:val="single" w:sz="2" w:space="0" w:color="666666"/>
            </w:tcBorders>
            <w:vAlign w:val="center"/>
          </w:tcPr>
          <w:p>
            <w:pPr>
              <w:pStyle w:val="TableContents"/>
              <w:bidi w:val="0"/>
              <w:spacing w:before="0" w:after="283"/>
              <w:jc w:val="left"/>
              <w:rPr/>
            </w:pPr>
            <w:r>
              <w:rPr/>
              <w:t>​</w:t>
            </w:r>
          </w:p>
        </w:tc>
        <w:tc>
          <w:tcPr>
            <w:tcW w:w="1489"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 </w:t>
            </w:r>
          </w:p>
        </w:tc>
        <w:tc>
          <w:tcPr>
            <w:tcW w:w="158"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301" w:type="dxa"/>
            <w:tcBorders>
              <w:bottom w:val="single" w:sz="2" w:space="0" w:color="666666"/>
            </w:tcBorders>
            <w:tcMar>
              <w:bottom w:w="108" w:type="dxa"/>
            </w:tcMar>
            <w:vAlign w:val="center"/>
          </w:tcPr>
          <w:p>
            <w:pPr>
              <w:pStyle w:val="TableContents"/>
              <w:bidi w:val="0"/>
              <w:spacing w:before="0" w:after="283"/>
              <w:jc w:val="left"/>
              <w:rPr/>
            </w:pPr>
            <w:r>
              <w:rPr>
                <w:spacing w:val="-1"/>
              </w:rPr>
              <w:t>Jeffrey Place</w:t>
            </w:r>
            <w:r>
              <w:rPr>
                <w:spacing w:val="-1"/>
                <w:sz w:val="12"/>
              </w:rPr>
              <w:t>2</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608"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4,724 </w:t>
            </w:r>
          </w:p>
        </w:tc>
        <w:tc>
          <w:tcPr>
            <w:tcW w:w="187" w:type="dxa"/>
            <w:tcBorders>
              <w:bottom w:val="single" w:sz="2" w:space="0" w:color="666666"/>
            </w:tcBorders>
            <w:vAlign w:val="center"/>
          </w:tcPr>
          <w:p>
            <w:pPr>
              <w:pStyle w:val="TableContents"/>
              <w:bidi w:val="0"/>
              <w:spacing w:before="0" w:after="283"/>
              <w:jc w:val="left"/>
              <w:rPr/>
            </w:pPr>
            <w:r>
              <w:rPr/>
              <w:t>​</w:t>
            </w:r>
          </w:p>
        </w:tc>
        <w:tc>
          <w:tcPr>
            <w:tcW w:w="187" w:type="dxa"/>
            <w:tcBorders>
              <w:bottom w:val="single" w:sz="2" w:space="0" w:color="666666"/>
            </w:tcBorders>
            <w:vAlign w:val="center"/>
          </w:tcPr>
          <w:p>
            <w:pPr>
              <w:pStyle w:val="TableContents"/>
              <w:bidi w:val="0"/>
              <w:spacing w:before="0" w:after="283"/>
              <w:jc w:val="left"/>
              <w:rPr/>
            </w:pPr>
            <w:r>
              <w:rPr/>
              <w:t>​</w:t>
            </w:r>
          </w:p>
        </w:tc>
        <w:tc>
          <w:tcPr>
            <w:tcW w:w="1489"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 </w:t>
            </w:r>
          </w:p>
        </w:tc>
        <w:tc>
          <w:tcPr>
            <w:tcW w:w="158"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301" w:type="dxa"/>
            <w:tcBorders>
              <w:bottom w:val="single" w:sz="2" w:space="0" w:color="666666"/>
            </w:tcBorders>
            <w:tcMar>
              <w:bottom w:w="108" w:type="dxa"/>
            </w:tcMar>
            <w:vAlign w:val="center"/>
          </w:tcPr>
          <w:p>
            <w:pPr>
              <w:pStyle w:val="TableContents"/>
              <w:bidi w:val="0"/>
              <w:spacing w:before="0" w:after="283"/>
              <w:jc w:val="left"/>
              <w:rPr/>
            </w:pPr>
            <w:r>
              <w:rPr>
                <w:spacing w:val="-1"/>
              </w:rPr>
              <w:t>Giovanni Barbarossa</w:t>
            </w:r>
            <w:r>
              <w:rPr>
                <w:spacing w:val="-1"/>
                <w:sz w:val="12"/>
              </w:rPr>
              <w:t>2</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608"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154,815 </w:t>
            </w:r>
          </w:p>
        </w:tc>
        <w:tc>
          <w:tcPr>
            <w:tcW w:w="187" w:type="dxa"/>
            <w:tcBorders>
              <w:bottom w:val="single" w:sz="2" w:space="0" w:color="666666"/>
            </w:tcBorders>
            <w:vAlign w:val="center"/>
          </w:tcPr>
          <w:p>
            <w:pPr>
              <w:pStyle w:val="TableContents"/>
              <w:bidi w:val="0"/>
              <w:spacing w:before="0" w:after="283"/>
              <w:jc w:val="left"/>
              <w:rPr/>
            </w:pPr>
            <w:r>
              <w:rPr/>
              <w:t>​</w:t>
            </w:r>
          </w:p>
        </w:tc>
        <w:tc>
          <w:tcPr>
            <w:tcW w:w="187" w:type="dxa"/>
            <w:tcBorders>
              <w:bottom w:val="single" w:sz="2" w:space="0" w:color="666666"/>
            </w:tcBorders>
            <w:vAlign w:val="center"/>
          </w:tcPr>
          <w:p>
            <w:pPr>
              <w:pStyle w:val="TableContents"/>
              <w:bidi w:val="0"/>
              <w:spacing w:before="0" w:after="283"/>
              <w:jc w:val="left"/>
              <w:rPr/>
            </w:pPr>
            <w:r>
              <w:rPr/>
              <w:t>​</w:t>
            </w:r>
          </w:p>
        </w:tc>
        <w:tc>
          <w:tcPr>
            <w:tcW w:w="1489"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 </w:t>
            </w:r>
          </w:p>
        </w:tc>
        <w:tc>
          <w:tcPr>
            <w:tcW w:w="158"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301" w:type="dxa"/>
            <w:tcBorders>
              <w:bottom w:val="single" w:sz="2" w:space="0" w:color="666666"/>
            </w:tcBorders>
            <w:tcMar>
              <w:bottom w:w="108" w:type="dxa"/>
            </w:tcMar>
            <w:vAlign w:val="center"/>
          </w:tcPr>
          <w:p>
            <w:pPr>
              <w:pStyle w:val="TableContents"/>
              <w:bidi w:val="0"/>
              <w:spacing w:before="0" w:after="283"/>
              <w:jc w:val="left"/>
              <w:rPr/>
            </w:pPr>
            <w:r>
              <w:rPr>
                <w:spacing w:val="-1"/>
              </w:rPr>
              <w:t>All current executive officers and Directors as a group (18 persons)</w:t>
            </w:r>
            <w:r>
              <w:rPr>
                <w:spacing w:val="-1"/>
                <w:sz w:val="12"/>
              </w:rPr>
              <w:t>2,3,4</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608"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486,549 </w:t>
            </w:r>
          </w:p>
        </w:tc>
        <w:tc>
          <w:tcPr>
            <w:tcW w:w="187" w:type="dxa"/>
            <w:tcBorders>
              <w:bottom w:val="single" w:sz="2" w:space="0" w:color="666666"/>
            </w:tcBorders>
            <w:vAlign w:val="center"/>
          </w:tcPr>
          <w:p>
            <w:pPr>
              <w:pStyle w:val="TableContents"/>
              <w:bidi w:val="0"/>
              <w:spacing w:before="0" w:after="283"/>
              <w:jc w:val="left"/>
              <w:rPr/>
            </w:pPr>
            <w:r>
              <w:rPr/>
              <w:t>​</w:t>
            </w:r>
          </w:p>
        </w:tc>
        <w:tc>
          <w:tcPr>
            <w:tcW w:w="187" w:type="dxa"/>
            <w:tcBorders>
              <w:bottom w:val="single" w:sz="2" w:space="0" w:color="666666"/>
            </w:tcBorders>
            <w:vAlign w:val="center"/>
          </w:tcPr>
          <w:p>
            <w:pPr>
              <w:pStyle w:val="TableContents"/>
              <w:bidi w:val="0"/>
              <w:spacing w:before="0" w:after="283"/>
              <w:jc w:val="left"/>
              <w:rPr/>
            </w:pPr>
            <w:r>
              <w:rPr/>
              <w:t>​</w:t>
            </w:r>
          </w:p>
        </w:tc>
        <w:tc>
          <w:tcPr>
            <w:tcW w:w="1489" w:type="dxa"/>
            <w:tcBorders>
              <w:bottom w:val="single" w:sz="2" w:space="0" w:color="666666"/>
            </w:tcBorders>
            <w:tcMar>
              <w:bottom w:w="108" w:type="dxa"/>
            </w:tcMar>
            <w:vAlign w:val="center"/>
          </w:tcPr>
          <w:p>
            <w:pPr>
              <w:pStyle w:val="TableContents"/>
              <w:bidi w:val="0"/>
              <w:spacing w:before="0" w:after="0"/>
              <w:jc w:val="center"/>
              <w:rPr/>
            </w:pPr>
            <w:r>
              <w:rPr>
                <w:spacing w:val="-1"/>
              </w:rPr>
              <w:t>*</w:t>
            </w:r>
            <w:r>
              <w:rPr/>
              <w:t xml:space="preserve"> </w:t>
            </w:r>
          </w:p>
        </w:tc>
        <w:tc>
          <w:tcPr>
            <w:tcW w:w="158" w:type="dxa"/>
            <w:tcBorders>
              <w:bottom w:val="single" w:sz="2" w:space="0" w:color="666666"/>
            </w:tcBorders>
            <w:vAlign w:val="center"/>
          </w:tcPr>
          <w:p>
            <w:pPr>
              <w:pStyle w:val="TableContents"/>
              <w:bidi w:val="0"/>
              <w:spacing w:before="0" w:after="283"/>
              <w:jc w:val="left"/>
              <w:rPr/>
            </w:pPr>
            <w:r>
              <w:rPr/>
              <w:t>​</w:t>
            </w:r>
          </w:p>
        </w:tc>
      </w:tr>
    </w:tbl>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188"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Less than 1%</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119380" distB="0" distL="0" distR="0" simplePos="0" locked="0" layoutInCell="1" allowOverlap="1" relativeHeight="353">
                <wp:simplePos x="0" y="0"/>
                <wp:positionH relativeFrom="column">
                  <wp:align>left</wp:align>
                </wp:positionH>
                <wp:positionV relativeFrom="line">
                  <wp:align>top</wp:align>
                </wp:positionV>
                <wp:extent cx="203200" cy="204470"/>
                <wp:effectExtent l="0" t="0" r="0" b="0"/>
                <wp:wrapSquare wrapText="right"/>
                <wp:docPr id="316" name="Frame131"/>
                <a:graphic xmlns:a="http://schemas.openxmlformats.org/drawingml/2006/main">
                  <a:graphicData uri="http://schemas.microsoft.com/office/word/2010/wordprocessingShape">
                    <wps:wsp>
                      <wps:cNvSpPr txBox="1"/>
                      <wps:spPr>
                        <a:xfrm>
                          <a:off x="0" y="0"/>
                          <a:ext cx="203200" cy="204470"/>
                        </a:xfrm>
                        <a:prstGeom prst="rect"/>
                        <a:solidFill>
                          <a:srgbClr val="FFFFFF"/>
                        </a:solidFill>
                      </wps:spPr>
                      <wps:txbx>
                        <w:txbxContent>
                          <w:p>
                            <w:pPr>
                              <w:pStyle w:val="TextBody"/>
                              <w:bidi w:val="0"/>
                              <w:spacing w:before="0" w:after="283"/>
                              <w:jc w:val="left"/>
                              <w:rPr>
                                <w:sz w:val="14"/>
                              </w:rPr>
                            </w:pPr>
                            <w:r>
                              <w:rPr>
                                <w:spacing w:val="-1"/>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16pt;height:16.1pt;mso-wrap-distance-left:0pt;mso-wrap-distance-right:0pt;mso-wrap-distance-top:9.4pt;mso-wrap-distance-bottom:0pt;margin-top:9.4pt;mso-position-vertical:top;mso-position-vertical-relative:text;margin-left:0pt;mso-position-horizontal:left;mso-position-horizontal-relative:text">
                <v:textbox>
                  <w:txbxContent>
                    <w:p>
                      <w:pPr>
                        <w:pStyle w:val="TextBody"/>
                        <w:bidi w:val="0"/>
                        <w:spacing w:before="0" w:after="283"/>
                        <w:jc w:val="left"/>
                        <w:rPr>
                          <w:sz w:val="14"/>
                        </w:rPr>
                      </w:pPr>
                      <w:r>
                        <w:rPr>
                          <w:spacing w:val="-1"/>
                          <w:sz w:val="14"/>
                        </w:rPr>
                        <w:t>*</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68"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There were 196,934,659 shares of our common stock outstanding as of August 31, 2026. In accordance with SEC rules and regulations, in computing the percentage ownership for each individual, any shares which that individual has the right to acquire within 60 days and shares underlying restricted stock units that would vest within 60 days of August 31, 2026 are deemed to be outstanding. However, shares which any other person has the right to acquire within 60 days and restricted stock units held by other persons are disregarded in the calculation. Therefore, the denominator used in calculating beneficial ownership may differ for each individual.</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43180" distB="0" distL="0" distR="0" simplePos="0" locked="0" layoutInCell="1" allowOverlap="1" relativeHeight="354">
                <wp:simplePos x="0" y="0"/>
                <wp:positionH relativeFrom="column">
                  <wp:align>left</wp:align>
                </wp:positionH>
                <wp:positionV relativeFrom="line">
                  <wp:align>top</wp:align>
                </wp:positionV>
                <wp:extent cx="203200" cy="228600"/>
                <wp:effectExtent l="0" t="0" r="0" b="0"/>
                <wp:wrapSquare wrapText="right"/>
                <wp:docPr id="317" name="Frame132"/>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68"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This figure does not include the following amounts of shares issuable in connection with restricted stock units that will not vest within 60 days of August 31, 2026: 125,058 for Mr. Anderson; 279 for each of Mr. Corasanti, Mr. DiGirolamo, Mr. Dreyer, Ms. Hatter, Mr. Motley, Ms. Neal-Graves, Mr. Pagliuca, Ms. Patrick, Dr. Sadasivam, Mr. Skaggs, Ms. Sterling, Mr. Vij and Dr. Xia; 61,371 for Ms. Luther, 41,067 for Mr. Beard, 28,164 for Dr. Eng, 16,375 for Mr. Place, 12,170 for Dr. Barbarossa and 286,627 for all current executive officers and directors as a group.</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43180" distB="0" distL="0" distR="0" simplePos="0" locked="0" layoutInCell="1" allowOverlap="1" relativeHeight="355">
                <wp:simplePos x="0" y="0"/>
                <wp:positionH relativeFrom="column">
                  <wp:align>left</wp:align>
                </wp:positionH>
                <wp:positionV relativeFrom="line">
                  <wp:align>top</wp:align>
                </wp:positionV>
                <wp:extent cx="203200" cy="228600"/>
                <wp:effectExtent l="0" t="0" r="0" b="0"/>
                <wp:wrapSquare wrapText="right"/>
                <wp:docPr id="318" name="Frame133"/>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2.</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2.</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34</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180" w:before="120" w:after="9135"/>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Includes the following amounts of shares underlying stock options that are exercisable within 60 days of August 31, 2026: 5,812 for Mr. Corasanti; 6,000 for Mr. Dreyer; 5,812 for Ms. Hatter; 15,532 for Dr. Xia; and 33,156 for all executive officers and directors as a group.</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0" distB="0" distL="0" distR="0" simplePos="0" locked="0" layoutInCell="1" allowOverlap="1" relativeHeight="356">
                <wp:simplePos x="0" y="0"/>
                <wp:positionH relativeFrom="column">
                  <wp:align>left</wp:align>
                </wp:positionH>
                <wp:positionV relativeFrom="line">
                  <wp:posOffset>635</wp:posOffset>
                </wp:positionV>
                <wp:extent cx="203200" cy="228600"/>
                <wp:effectExtent l="0" t="0" r="0" b="0"/>
                <wp:wrapSquare wrapText="right"/>
                <wp:docPr id="319" name="Frame134"/>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3.</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3.</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Includes 8,792 shares held by the Vij Family 2001 Trust.</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50800" distB="0" distL="0" distR="0" simplePos="0" locked="0" layoutInCell="1" allowOverlap="1" relativeHeight="357">
                <wp:simplePos x="0" y="0"/>
                <wp:positionH relativeFrom="column">
                  <wp:align>left</wp:align>
                </wp:positionH>
                <wp:positionV relativeFrom="line">
                  <wp:align>top</wp:align>
                </wp:positionV>
                <wp:extent cx="203200" cy="228600"/>
                <wp:effectExtent l="0" t="0" r="0" b="0"/>
                <wp:wrapSquare wrapText="right"/>
                <wp:docPr id="320" name="Frame135"/>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4.</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4.</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DELINQUENT SECTION 16(A) REPORTS</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pacing w:val="-1"/>
          <w:sz w:val="19"/>
          <w:shd w:fill="FFFFFF" w:val="clear"/>
        </w:rPr>
      </w:pPr>
      <w:r>
        <w:rPr>
          <w:rFonts w:ascii="Arial;Helvetica;sans-serif" w:hAnsi="Arial;Helvetica;sans-serif"/>
          <w:b w:val="false"/>
          <w:i w:val="false"/>
          <w:caps w:val="false"/>
          <w:smallCaps w:val="false"/>
          <w:color w:val="000000"/>
          <w:spacing w:val="-1"/>
          <w:sz w:val="19"/>
          <w:shd w:fill="FFFFFF" w:val="clear"/>
        </w:rPr>
        <w:t xml:space="preserve">Section 16(a) of the Exchange Act requires the Company’s directors, executive officers and persons who beneficially own more than 10% of a class of the Company’s registered equity securities to file with the SEC and deliver to the Company initial reports of ownership, and reports of changes in ownership, of such securities. We are required to disclose in this proxy statement any failure to file these required ownership reports by their due dates. Based solely on our review of Section 16(a) reports, and written representations that our directors and executive officers have furnished to us, other than two late Form 4 reports for Ilaria Mocciaro, in each case regarding the withholding of shares for tax purposes in connection with the vesting of restricted stock units, and one late Form 4 report for Stephen Pagliuca regarding the granting of a restricted stock award, all of which were due to an administrative error by the Company, we believe that all reporting persons complied with all Section 16(a) filing requirements during our fiscal year 2026.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35</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4" w:name="tEXOF"/>
      <w:bookmarkEnd w:id="1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640" w:before="120" w:after="715"/>
        <w:ind w:left="893" w:right="40" w:hanging="0"/>
        <w:jc w:val="left"/>
        <w:rPr>
          <w:rFonts w:ascii="Tahoma;Geneva;sans-serif" w:hAnsi="Tahoma;Geneva;sans-serif"/>
          <w:b/>
          <w:i w:val="false"/>
          <w:caps w:val="false"/>
          <w:smallCaps w:val="false"/>
          <w:color w:val="0068C7"/>
          <w:sz w:val="60"/>
          <w:shd w:fill="FFFFFF" w:val="clear"/>
        </w:rPr>
      </w:pPr>
      <w:r>
        <w:rPr>
          <w:rFonts w:ascii="Tahoma;Geneva;sans-serif" w:hAnsi="Tahoma;Geneva;sans-serif"/>
          <w:b/>
          <w:i w:val="false"/>
          <w:caps w:val="false"/>
          <w:smallCaps w:val="false"/>
          <w:color w:val="0068C7"/>
          <w:sz w:val="60"/>
          <w:shd w:fill="FFFFFF" w:val="clear"/>
        </w:rPr>
        <w:t>EXECUTIVE OFFICERS</w:t>
      </w:r>
      <w:r>
        <w:rPr>
          <w:rFonts w:ascii="Tahoma;Geneva;sans-serif" w:hAnsi="Tahoma;Geneva;sans-serif"/>
          <w:b/>
          <w:i w:val="false"/>
          <w:caps w:val="false"/>
          <w:smallCaps w:val="false"/>
          <w:color w:val="000000"/>
          <w:spacing w:val="12"/>
          <w:sz w:val="6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Set forth below is information concerning our executive officers as of October 8, 2026.</w:t>
      </w:r>
      <w:r>
        <w:rPr>
          <w:rFonts w:ascii="Arial;Helvetica;sans-serif" w:hAnsi="Arial;Helvetica;sans-serif"/>
          <w:b w:val="false"/>
          <w:i w:val="false"/>
          <w:caps w:val="false"/>
          <w:smallCaps w:val="false"/>
          <w:color w:val="000000"/>
          <w:spacing w:val="4"/>
          <w:sz w:val="19"/>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1837"/>
        <w:gridCol w:w="109"/>
        <w:gridCol w:w="109"/>
        <w:gridCol w:w="560"/>
        <w:gridCol w:w="109"/>
        <w:gridCol w:w="109"/>
        <w:gridCol w:w="6159"/>
        <w:gridCol w:w="156"/>
      </w:tblGrid>
      <w:tr>
        <w:trPr/>
        <w:tc>
          <w:tcPr>
            <w:tcW w:w="124" w:type="dxa"/>
            <w:tcBorders/>
            <w:shd w:fill="000000" w:val="clear"/>
            <w:vAlign w:val="center"/>
          </w:tcPr>
          <w:p>
            <w:pPr>
              <w:pStyle w:val="TableContents"/>
              <w:bidi w:val="0"/>
              <w:spacing w:before="0" w:after="283"/>
              <w:jc w:val="left"/>
              <w:rPr/>
            </w:pPr>
            <w:r>
              <w:rPr/>
              <w:t>​</w:t>
            </w:r>
          </w:p>
        </w:tc>
        <w:tc>
          <w:tcPr>
            <w:tcW w:w="1837" w:type="dxa"/>
            <w:tcBorders/>
            <w:shd w:fill="000000" w:val="clear"/>
            <w:vAlign w:val="center"/>
          </w:tcPr>
          <w:p>
            <w:pPr>
              <w:pStyle w:val="TableContents"/>
              <w:bidi w:val="0"/>
              <w:spacing w:before="0" w:after="0"/>
              <w:jc w:val="left"/>
              <w:rPr/>
            </w:pPr>
            <w:r>
              <w:rPr/>
              <w:t xml:space="preserve">Name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60" w:type="dxa"/>
            <w:tcBorders/>
            <w:shd w:fill="000000" w:val="clear"/>
            <w:vAlign w:val="center"/>
          </w:tcPr>
          <w:p>
            <w:pPr>
              <w:pStyle w:val="TableContents"/>
              <w:bidi w:val="0"/>
              <w:spacing w:before="0" w:after="0"/>
              <w:jc w:val="center"/>
              <w:rPr/>
            </w:pPr>
            <w:r>
              <w:rPr/>
              <w:t xml:space="preserve">Age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6159" w:type="dxa"/>
            <w:tcBorders/>
            <w:shd w:fill="000000" w:val="clear"/>
            <w:vAlign w:val="center"/>
          </w:tcPr>
          <w:p>
            <w:pPr>
              <w:pStyle w:val="TableContents"/>
              <w:bidi w:val="0"/>
              <w:spacing w:before="0" w:after="0"/>
              <w:jc w:val="left"/>
              <w:rPr/>
            </w:pPr>
            <w:r>
              <w:rPr/>
              <w:t xml:space="preserve">Position </w:t>
            </w:r>
          </w:p>
        </w:tc>
        <w:tc>
          <w:tcPr>
            <w:tcW w:w="156"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837"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James R. Anderson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60"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54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159"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Chief Executive Officer and President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837"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Sherri Luther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60"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61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159"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Chief Financial Officer and Treasurer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837"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Rob Beard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60"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48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159"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Chief Strategy and Legal Affairs Officer and Secretary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837"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Julie S. Eng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60"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59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159"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Chief Technology Officer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837"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Jeffrey Place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60"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53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159"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Chief Supply Chain Officer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837" w:type="dxa"/>
            <w:tcBorders>
              <w:bottom w:val="single" w:sz="2" w:space="0" w:color="666666"/>
            </w:tcBorders>
            <w:tcMar>
              <w:bottom w:w="108" w:type="dxa"/>
            </w:tcMar>
            <w:vAlign w:val="center"/>
          </w:tcPr>
          <w:p>
            <w:pPr>
              <w:pStyle w:val="TableContents"/>
              <w:bidi w:val="0"/>
              <w:spacing w:before="0" w:after="283"/>
              <w:jc w:val="left"/>
              <w:rPr>
                <w:spacing w:val="-1"/>
              </w:rPr>
            </w:pPr>
            <w:r>
              <w:rPr>
                <w:spacing w:val="-1"/>
              </w:rPr>
              <w:t xml:space="preserve">Ilaria Mocciaro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60" w:type="dxa"/>
            <w:tcBorders>
              <w:bottom w:val="single" w:sz="2" w:space="0" w:color="666666"/>
            </w:tcBorders>
            <w:tcMar>
              <w:bottom w:w="108" w:type="dxa"/>
            </w:tcMar>
            <w:vAlign w:val="center"/>
          </w:tcPr>
          <w:p>
            <w:pPr>
              <w:pStyle w:val="TableContents"/>
              <w:bidi w:val="0"/>
              <w:spacing w:before="0" w:after="0"/>
              <w:jc w:val="center"/>
              <w:rPr>
                <w:spacing w:val="-1"/>
              </w:rPr>
            </w:pPr>
            <w:r>
              <w:rPr>
                <w:spacing w:val="-1"/>
              </w:rPr>
              <w:t xml:space="preserve">56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159" w:type="dxa"/>
            <w:tcBorders>
              <w:bottom w:val="single" w:sz="2" w:space="0" w:color="666666"/>
            </w:tcBorders>
            <w:tcMar>
              <w:bottom w:w="108" w:type="dxa"/>
            </w:tcMar>
            <w:vAlign w:val="center"/>
          </w:tcPr>
          <w:p>
            <w:pPr>
              <w:pStyle w:val="TableContents"/>
              <w:bidi w:val="0"/>
              <w:spacing w:before="0" w:after="0"/>
              <w:jc w:val="left"/>
              <w:rPr/>
            </w:pPr>
            <w:r>
              <w:rPr>
                <w:spacing w:val="-1"/>
              </w:rPr>
              <w:t>Senior Vice President, Chief Accounting Officer and Corporate Controller</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lineRule="atLeast" w:line="250" w:before="245" w:after="283"/>
        <w:ind w:left="89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 xml:space="preserve">Biographical information for </w:t>
      </w:r>
      <w:r>
        <w:rPr>
          <w:rFonts w:ascii="Arial;Helvetica;sans-serif" w:hAnsi="Arial;Helvetica;sans-serif"/>
          <w:b/>
          <w:i w:val="false"/>
          <w:caps w:val="false"/>
          <w:smallCaps w:val="false"/>
          <w:color w:val="000000"/>
          <w:spacing w:val="-2"/>
          <w:sz w:val="19"/>
          <w:shd w:fill="FFFFFF" w:val="clear"/>
        </w:rPr>
        <w:t>JAMES R. ANDERSON</w:t>
      </w:r>
      <w:r>
        <w:rPr>
          <w:rFonts w:ascii="Arial;Helvetica;sans-serif" w:hAnsi="Arial;Helvetica;sans-serif"/>
          <w:b w:val="false"/>
          <w:i w:val="false"/>
          <w:caps w:val="false"/>
          <w:smallCaps w:val="false"/>
          <w:color w:val="000000"/>
          <w:spacing w:val="-1"/>
          <w:sz w:val="19"/>
          <w:shd w:fill="FFFFFF" w:val="clear"/>
        </w:rPr>
        <w:t xml:space="preserve"> may be found in the “DIRECTORS” section of this proxy statement.</w:t>
      </w:r>
      <w:r>
        <w:rPr>
          <w:rFonts w:ascii="Arial;Helvetica;sans-serif" w:hAnsi="Arial;Helvetica;sans-serif"/>
          <w:b w:val="false"/>
          <w:i w:val="false"/>
          <w:caps w:val="false"/>
          <w:smallCaps w:val="false"/>
          <w:color w:val="000000"/>
          <w:spacing w:val="4"/>
          <w:sz w:val="19"/>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1394"/>
        <w:gridCol w:w="109"/>
        <w:gridCol w:w="109"/>
        <w:gridCol w:w="7381"/>
        <w:gridCol w:w="155"/>
      </w:tblGrid>
      <w:tr>
        <w:trPr/>
        <w:tc>
          <w:tcPr>
            <w:tcW w:w="124" w:type="dxa"/>
            <w:tcBorders/>
            <w:vAlign w:val="center"/>
          </w:tcPr>
          <w:p>
            <w:pPr>
              <w:pStyle w:val="TableContents"/>
              <w:bidi w:val="0"/>
              <w:spacing w:before="0" w:after="283"/>
              <w:jc w:val="left"/>
              <w:rPr/>
            </w:pPr>
            <w:r>
              <w:rPr/>
              <w:t>​</w:t>
            </w:r>
          </w:p>
        </w:tc>
        <w:tc>
          <w:tcPr>
            <w:tcW w:w="1394" w:type="dxa"/>
            <w:tcBorders/>
            <w:vAlign w:val="center"/>
          </w:tcPr>
          <w:p>
            <w:pPr>
              <w:pStyle w:val="TableContents"/>
              <w:bidi w:val="0"/>
              <w:spacing w:before="0" w:after="0"/>
              <w:jc w:val="center"/>
              <w:rPr/>
            </w:pPr>
            <w:r>
              <w:rPr/>
              <w:drawing>
                <wp:inline distT="0" distB="0" distL="0" distR="0">
                  <wp:extent cx="828675" cy="828675"/>
                  <wp:effectExtent l="0" t="0" r="0" b="0"/>
                  <wp:docPr id="321"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177" descr=""/>
                          <pic:cNvPicPr>
                            <a:picLocks noChangeAspect="1" noChangeArrowheads="1"/>
                          </pic:cNvPicPr>
                        </pic:nvPicPr>
                        <pic:blipFill>
                          <a:blip r:embed="rId187"/>
                          <a:stretch>
                            <a:fillRect/>
                          </a:stretch>
                        </pic:blipFill>
                        <pic:spPr bwMode="auto">
                          <a:xfrm>
                            <a:off x="0" y="0"/>
                            <a:ext cx="828675" cy="8286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55" w:before="0" w:after="0"/>
              <w:jc w:val="left"/>
              <w:rPr/>
            </w:pPr>
            <w:r>
              <w:rPr>
                <w:b/>
                <w:spacing w:val="-2"/>
              </w:rPr>
              <w:t>SHERRI LUTHER</w:t>
            </w:r>
            <w:r>
              <w:rPr>
                <w:spacing w:val="-1"/>
              </w:rPr>
              <w:t xml:space="preserve"> was named Chief Financial Officer of Coherent Corp. in October 2024. Ms. Luther joined Coherent from Lattice Semiconductor, where she had been CFO since 2019. Prior to Lattice, Ms. Luther worked at Coherent, Inc., for 16 years, including as Corporate Vice President of Finance. Ms. Luther has more than 30 years of strategic and financial operations experience, with expertise in financial reporting, forecasting, internal audit, M&amp;A, treasury, investor relations, operations, and global supply chain management. Previously, Ms. Luther held senior finance and accounting roles at companies including Quantum, Ultra Network Technologies, and Arthur Andersen. Ms. Luther is a Certified Public Accountant (CPA) and graduated from the Executive MBA Program at Stanford University Graduate School of Business. She holds a bachelor’s degree in Business Administration, with a dual major in Accounting and Finance, from Wright State University. She serves on the Board of Directors of Silicon Labs and is also NACD (National Association of Corporate Directors) Directorship Certified.</w:t>
            </w:r>
            <w:r>
              <w:rPr/>
              <w:t xml:space="preserve"> </w:t>
            </w:r>
          </w:p>
        </w:tc>
        <w:tc>
          <w:tcPr>
            <w:tcW w:w="155" w:type="dxa"/>
            <w:tcBorders/>
            <w:vAlign w:val="center"/>
          </w:tcPr>
          <w:p>
            <w:pPr>
              <w:pStyle w:val="TableContents"/>
              <w:bidi w:val="0"/>
              <w:spacing w:before="0" w:after="283"/>
              <w:jc w:val="left"/>
              <w:rPr/>
            </w:pPr>
            <w:r>
              <w:rPr/>
              <w:t>​</w:t>
            </w:r>
          </w:p>
        </w:tc>
      </w:tr>
    </w:tbl>
    <w:tbl>
      <w:tblPr>
        <w:tblW w:w="9272" w:type="dxa"/>
        <w:jc w:val="left"/>
        <w:tblInd w:w="893" w:type="dxa"/>
        <w:tblLayout w:type="fixed"/>
        <w:tblCellMar>
          <w:top w:w="0" w:type="dxa"/>
          <w:left w:w="0" w:type="dxa"/>
          <w:bottom w:w="0" w:type="dxa"/>
          <w:right w:w="0" w:type="dxa"/>
        </w:tblCellMar>
      </w:tblPr>
      <w:tblGrid>
        <w:gridCol w:w="124"/>
        <w:gridCol w:w="1393"/>
        <w:gridCol w:w="109"/>
        <w:gridCol w:w="109"/>
        <w:gridCol w:w="7382"/>
        <w:gridCol w:w="155"/>
      </w:tblGrid>
      <w:tr>
        <w:trPr/>
        <w:tc>
          <w:tcPr>
            <w:tcW w:w="124" w:type="dxa"/>
            <w:tcBorders/>
            <w:vAlign w:val="center"/>
          </w:tcPr>
          <w:p>
            <w:pPr>
              <w:pStyle w:val="TableContents"/>
              <w:bidi w:val="0"/>
              <w:spacing w:before="0" w:after="283"/>
              <w:jc w:val="left"/>
              <w:rPr/>
            </w:pPr>
            <w:r>
              <w:rPr/>
              <w:t>​</w:t>
            </w:r>
          </w:p>
        </w:tc>
        <w:tc>
          <w:tcPr>
            <w:tcW w:w="1393" w:type="dxa"/>
            <w:tcBorders/>
            <w:vAlign w:val="center"/>
          </w:tcPr>
          <w:p>
            <w:pPr>
              <w:pStyle w:val="TableContents"/>
              <w:bidi w:val="0"/>
              <w:spacing w:before="0" w:after="0"/>
              <w:jc w:val="center"/>
              <w:rPr/>
            </w:pPr>
            <w:r>
              <w:rPr/>
              <w:drawing>
                <wp:inline distT="0" distB="0" distL="0" distR="0">
                  <wp:extent cx="828675" cy="828675"/>
                  <wp:effectExtent l="0" t="0" r="0" b="0"/>
                  <wp:docPr id="322"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178" descr=""/>
                          <pic:cNvPicPr>
                            <a:picLocks noChangeAspect="1" noChangeArrowheads="1"/>
                          </pic:cNvPicPr>
                        </pic:nvPicPr>
                        <pic:blipFill>
                          <a:blip r:embed="rId188"/>
                          <a:stretch>
                            <a:fillRect/>
                          </a:stretch>
                        </pic:blipFill>
                        <pic:spPr bwMode="auto">
                          <a:xfrm>
                            <a:off x="0" y="0"/>
                            <a:ext cx="828675" cy="8286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82" w:type="dxa"/>
            <w:tcBorders/>
            <w:vAlign w:val="center"/>
          </w:tcPr>
          <w:p>
            <w:pPr>
              <w:pStyle w:val="TableContents"/>
              <w:bidi w:val="0"/>
              <w:spacing w:lineRule="atLeast" w:line="255" w:before="0" w:after="0"/>
              <w:jc w:val="left"/>
              <w:rPr/>
            </w:pPr>
            <w:r>
              <w:rPr>
                <w:b/>
                <w:spacing w:val="-2"/>
              </w:rPr>
              <w:t>ROB BEARD</w:t>
            </w:r>
            <w:r>
              <w:rPr>
                <w:spacing w:val="-1"/>
              </w:rPr>
              <w:t xml:space="preserve"> brings more than 20 years of senior international experience across the business, policy, and legal worlds to his role as Chief Strategy and Legal Affairs Officer for Coherent Corp. Mr. Beard joined Coherent in 2024 from Mastercard, where he was Chief Legal and Global Affairs Officer. While at Mastercard, he led the company’s global legal, government affairs, and policy teams, and served on Mastercard’s Management Committee. Mr. Beard joined Mastercard after a nearly decade-long tenure at Micron Technology, during which time he held various roles on the legal team and ultimately served as general counsel and corporate secretary. While at Micron, he played a key role in promoting the U.S. CHIPS and Science Act and in negotiating an incentive package from the state of New York for Micron’s announced $100 billion semiconductor manufacturing facility to be built in the Syracuse area. After clerking on the U.S. Court of Appeals for the Ninth Circuit, Mr. Beard began his corporate legal career as an associate in Shearman &amp; Sterling’s London office, before moving to Weil, Gotshal &amp; Manges. He graduated from the University of Utah and received his Juris Doctor from the University of Illinois College of Law, </w:t>
            </w:r>
            <w:r>
              <w:rPr>
                <w:i/>
              </w:rPr>
              <w:t>summa cum laude</w:t>
            </w:r>
            <w:r>
              <w:rPr>
                <w:spacing w:val="-1"/>
              </w:rPr>
              <w:t>. Mr. Beard has also taught in the University of Illinois Communications Department, at the University of Illinois College of Law, and at the S.J. Quinney College of Law at the University of Utah.</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36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1394"/>
        <w:gridCol w:w="109"/>
        <w:gridCol w:w="109"/>
        <w:gridCol w:w="7381"/>
        <w:gridCol w:w="155"/>
      </w:tblGrid>
      <w:tr>
        <w:trPr/>
        <w:tc>
          <w:tcPr>
            <w:tcW w:w="124" w:type="dxa"/>
            <w:tcBorders/>
            <w:vAlign w:val="center"/>
          </w:tcPr>
          <w:p>
            <w:pPr>
              <w:pStyle w:val="TableContents"/>
              <w:bidi w:val="0"/>
              <w:spacing w:before="0" w:after="283"/>
              <w:jc w:val="left"/>
              <w:rPr/>
            </w:pPr>
            <w:r>
              <w:rPr/>
              <w:t>​</w:t>
            </w:r>
          </w:p>
        </w:tc>
        <w:tc>
          <w:tcPr>
            <w:tcW w:w="1394" w:type="dxa"/>
            <w:tcBorders/>
            <w:vAlign w:val="center"/>
          </w:tcPr>
          <w:p>
            <w:pPr>
              <w:pStyle w:val="TableContents"/>
              <w:bidi w:val="0"/>
              <w:spacing w:before="0" w:after="0"/>
              <w:jc w:val="center"/>
              <w:rPr/>
            </w:pPr>
            <w:r>
              <w:rPr/>
              <w:drawing>
                <wp:inline distT="0" distB="0" distL="0" distR="0">
                  <wp:extent cx="828675" cy="828675"/>
                  <wp:effectExtent l="0" t="0" r="0" b="0"/>
                  <wp:docPr id="323"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179" descr=""/>
                          <pic:cNvPicPr>
                            <a:picLocks noChangeAspect="1" noChangeArrowheads="1"/>
                          </pic:cNvPicPr>
                        </pic:nvPicPr>
                        <pic:blipFill>
                          <a:blip r:embed="rId189"/>
                          <a:stretch>
                            <a:fillRect/>
                          </a:stretch>
                        </pic:blipFill>
                        <pic:spPr bwMode="auto">
                          <a:xfrm>
                            <a:off x="0" y="0"/>
                            <a:ext cx="828675" cy="8286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55" w:before="0" w:after="0"/>
              <w:jc w:val="left"/>
              <w:rPr/>
            </w:pPr>
            <w:r>
              <w:rPr>
                <w:b/>
                <w:spacing w:val="-2"/>
              </w:rPr>
              <w:t>JULIE S. ENG</w:t>
            </w:r>
            <w:r>
              <w:rPr>
                <w:spacing w:val="-1"/>
              </w:rPr>
              <w:t xml:space="preserve"> was appointed Chief Technology Officer of Coherent Corp. in October 2022. Prior to becoming CTO, Dr. Eng served as Senior Vice President and General Manager of the Company’s Optoelectronic Devices and Modules Business Unit. Dr. Eng joined the Company in 2019 with the acquisition of Finisar, where she held various senior management positions, including Executive Vice President and General Manager of 3D Sensing, and Executive Vice President of Datacom Engineering. Dr. Eng spent over 25 years in the optoelectronics and optical communications industries, including roles at AT&amp;T, Lucent, and Agere. Dr. Eng received her PhD and M.S. in electrical Engineering from Stanford, and an M.S. and B.A. from Bryn Mawr College (summa cum laude) and a B.S., with honors from the California Institute of Technology (Caltech). In 2025 Dr. Eng was appointed to the National Academy of Engineering and was also awarded the Dr. Lisa Su Woman of Innovation Award from the Global Semiconductor Alliance.</w:t>
            </w:r>
            <w:r>
              <w:rPr/>
              <w:t xml:space="preserve"> </w:t>
            </w:r>
          </w:p>
        </w:tc>
        <w:tc>
          <w:tcPr>
            <w:tcW w:w="155" w:type="dxa"/>
            <w:tcBorders/>
            <w:vAlign w:val="center"/>
          </w:tcPr>
          <w:p>
            <w:pPr>
              <w:pStyle w:val="TableContents"/>
              <w:bidi w:val="0"/>
              <w:spacing w:before="0" w:after="283"/>
              <w:jc w:val="left"/>
              <w:rPr/>
            </w:pPr>
            <w:r>
              <w:rPr/>
              <w:t>​</w:t>
            </w:r>
          </w:p>
        </w:tc>
      </w:tr>
    </w:tbl>
    <w:tbl>
      <w:tblPr>
        <w:tblW w:w="9272" w:type="dxa"/>
        <w:jc w:val="left"/>
        <w:tblInd w:w="893" w:type="dxa"/>
        <w:tblLayout w:type="fixed"/>
        <w:tblCellMar>
          <w:top w:w="0" w:type="dxa"/>
          <w:left w:w="0" w:type="dxa"/>
          <w:bottom w:w="0" w:type="dxa"/>
          <w:right w:w="0" w:type="dxa"/>
        </w:tblCellMar>
      </w:tblPr>
      <w:tblGrid>
        <w:gridCol w:w="124"/>
        <w:gridCol w:w="1395"/>
        <w:gridCol w:w="109"/>
        <w:gridCol w:w="109"/>
        <w:gridCol w:w="7380"/>
        <w:gridCol w:w="155"/>
      </w:tblGrid>
      <w:tr>
        <w:trPr/>
        <w:tc>
          <w:tcPr>
            <w:tcW w:w="124" w:type="dxa"/>
            <w:tcBorders/>
            <w:vAlign w:val="center"/>
          </w:tcPr>
          <w:p>
            <w:pPr>
              <w:pStyle w:val="TableContents"/>
              <w:bidi w:val="0"/>
              <w:spacing w:before="0" w:after="283"/>
              <w:jc w:val="left"/>
              <w:rPr/>
            </w:pPr>
            <w:r>
              <w:rPr/>
              <w:t>​</w:t>
            </w:r>
          </w:p>
        </w:tc>
        <w:tc>
          <w:tcPr>
            <w:tcW w:w="1395" w:type="dxa"/>
            <w:tcBorders/>
            <w:vAlign w:val="center"/>
          </w:tcPr>
          <w:p>
            <w:pPr>
              <w:pStyle w:val="TableContents"/>
              <w:bidi w:val="0"/>
              <w:spacing w:before="0" w:after="0"/>
              <w:jc w:val="center"/>
              <w:rPr/>
            </w:pPr>
            <w:r>
              <w:rPr/>
              <w:drawing>
                <wp:inline distT="0" distB="0" distL="0" distR="0">
                  <wp:extent cx="828675" cy="828675"/>
                  <wp:effectExtent l="0" t="0" r="0" b="0"/>
                  <wp:docPr id="324"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180" descr=""/>
                          <pic:cNvPicPr>
                            <a:picLocks noChangeAspect="1" noChangeArrowheads="1"/>
                          </pic:cNvPicPr>
                        </pic:nvPicPr>
                        <pic:blipFill>
                          <a:blip r:embed="rId190"/>
                          <a:stretch>
                            <a:fillRect/>
                          </a:stretch>
                        </pic:blipFill>
                        <pic:spPr bwMode="auto">
                          <a:xfrm>
                            <a:off x="0" y="0"/>
                            <a:ext cx="828675" cy="8286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80" w:type="dxa"/>
            <w:tcBorders/>
            <w:vAlign w:val="center"/>
          </w:tcPr>
          <w:p>
            <w:pPr>
              <w:pStyle w:val="TableContents"/>
              <w:bidi w:val="0"/>
              <w:spacing w:lineRule="atLeast" w:line="255" w:before="0" w:after="0"/>
              <w:jc w:val="left"/>
              <w:rPr/>
            </w:pPr>
            <w:r>
              <w:rPr>
                <w:b/>
                <w:spacing w:val="-2"/>
              </w:rPr>
              <w:t>JEFFREY PLACE</w:t>
            </w:r>
            <w:r>
              <w:rPr>
                <w:spacing w:val="-1"/>
              </w:rPr>
              <w:t xml:space="preserve"> joined Coherent Corp. as Chief Supply Chain Officer in July 2025. He brings to the role more than 25 years of broad operations, supply chain, manufacturing, quality, and security experience in industrial and technology companies. He joined the Company from Pratt and Whitney, where he served as Vice President of Integrated Business Planning. Prior to that he held senior executive positions, including Deputy President at Raytheon Naval Power and Vice President, Operations and Supply Chain at Raytheon Technologies. Prior to RTX he was the Vice President, Operations for United Technologies. Mr. Place received an MBA from Case Western University and B.S. in Materials and Logistics Management from Michigan State University. He is also a graduate of the Executive Leadership Development Program at INSEAD.</w:t>
            </w:r>
            <w:r>
              <w:rPr/>
              <w:t xml:space="preserve"> </w:t>
            </w:r>
          </w:p>
        </w:tc>
        <w:tc>
          <w:tcPr>
            <w:tcW w:w="155" w:type="dxa"/>
            <w:tcBorders/>
            <w:vAlign w:val="center"/>
          </w:tcPr>
          <w:p>
            <w:pPr>
              <w:pStyle w:val="TableContents"/>
              <w:bidi w:val="0"/>
              <w:spacing w:before="0" w:after="283"/>
              <w:jc w:val="left"/>
              <w:rPr/>
            </w:pPr>
            <w:r>
              <w:rPr/>
              <w:t>​</w:t>
            </w:r>
          </w:p>
        </w:tc>
      </w:tr>
    </w:tbl>
    <w:tbl>
      <w:tblPr>
        <w:tblW w:w="9272" w:type="dxa"/>
        <w:jc w:val="left"/>
        <w:tblInd w:w="893" w:type="dxa"/>
        <w:tblLayout w:type="fixed"/>
        <w:tblCellMar>
          <w:top w:w="0" w:type="dxa"/>
          <w:left w:w="0" w:type="dxa"/>
          <w:bottom w:w="0" w:type="dxa"/>
          <w:right w:w="0" w:type="dxa"/>
        </w:tblCellMar>
      </w:tblPr>
      <w:tblGrid>
        <w:gridCol w:w="124"/>
        <w:gridCol w:w="1394"/>
        <w:gridCol w:w="109"/>
        <w:gridCol w:w="109"/>
        <w:gridCol w:w="7381"/>
        <w:gridCol w:w="155"/>
      </w:tblGrid>
      <w:tr>
        <w:trPr/>
        <w:tc>
          <w:tcPr>
            <w:tcW w:w="124" w:type="dxa"/>
            <w:tcBorders/>
            <w:vAlign w:val="center"/>
          </w:tcPr>
          <w:p>
            <w:pPr>
              <w:pStyle w:val="TableContents"/>
              <w:bidi w:val="0"/>
              <w:spacing w:before="0" w:after="283"/>
              <w:jc w:val="left"/>
              <w:rPr/>
            </w:pPr>
            <w:r>
              <w:rPr/>
              <w:t>​</w:t>
            </w:r>
          </w:p>
        </w:tc>
        <w:tc>
          <w:tcPr>
            <w:tcW w:w="1394" w:type="dxa"/>
            <w:tcBorders/>
            <w:vAlign w:val="center"/>
          </w:tcPr>
          <w:p>
            <w:pPr>
              <w:pStyle w:val="TableContents"/>
              <w:bidi w:val="0"/>
              <w:spacing w:before="0" w:after="0"/>
              <w:jc w:val="center"/>
              <w:rPr/>
            </w:pPr>
            <w:r>
              <w:rPr/>
              <w:drawing>
                <wp:inline distT="0" distB="0" distL="0" distR="0">
                  <wp:extent cx="828675" cy="828675"/>
                  <wp:effectExtent l="0" t="0" r="0" b="0"/>
                  <wp:docPr id="325"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181" descr=""/>
                          <pic:cNvPicPr>
                            <a:picLocks noChangeAspect="1" noChangeArrowheads="1"/>
                          </pic:cNvPicPr>
                        </pic:nvPicPr>
                        <pic:blipFill>
                          <a:blip r:embed="rId191"/>
                          <a:stretch>
                            <a:fillRect/>
                          </a:stretch>
                        </pic:blipFill>
                        <pic:spPr bwMode="auto">
                          <a:xfrm>
                            <a:off x="0" y="0"/>
                            <a:ext cx="828675" cy="8286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55" w:before="0" w:after="0"/>
              <w:jc w:val="left"/>
              <w:rPr/>
            </w:pPr>
            <w:r>
              <w:rPr>
                <w:b/>
                <w:spacing w:val="-2"/>
              </w:rPr>
              <w:t>ILARIA MOCCIARO</w:t>
            </w:r>
            <w:r>
              <w:rPr>
                <w:spacing w:val="-1"/>
              </w:rPr>
              <w:t xml:space="preserve"> joined the Company in February 2023 as the Senior Vice President, Chief Accounting Officer and Corporate Controller and became the principal accounting officer on August 31, 2023. She joined the Company from CDW, where she was the Vice President, Chief Accounting Officer and Controller from 2020 to 2022. From 2016 to 2020, she was the Senior Vice President, Chief Accounting Officer and Global Controller at Anixter International Inc., where she helped close the sale of Anixter to Wesco. From 2011 to 2016, Ms. Mocciaro was the Chief Accounting Officer of the agricultural and construction equipment segments at CNH Industrial NV., after serving as Director of Accounting and Reporting. She led internal Audit at McMaster-Carr Supply Company from 2010 to 2011 and previously held several management positions at Ernst &amp; Young LLP in Chicago and Milan, Italy, from 1997 to 2010. Ms. Mocciaro holds a B.A. degree in Accounting and Business Administration from the Catholic University of the Sacred Heart (</w:t>
            </w:r>
            <w:r>
              <w:rPr>
                <w:i/>
              </w:rPr>
              <w:t>Universita Cattolica del Sacro Coure</w:t>
            </w:r>
            <w:r>
              <w:rPr>
                <w:spacing w:val="-1"/>
              </w:rPr>
              <w:t>) in Milan.</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37</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5" w:name="tIAWTV"/>
      <w:bookmarkEnd w:id="15"/>
      <w:r>
        <w:rPr>
          <w:rFonts w:ascii="calibri;arial;sans-serif" w:hAnsi="calibri;arial;sans-serif"/>
          <w:b w:val="false"/>
          <w:i w:val="false"/>
          <w:caps w:val="false"/>
          <w:smallCaps w:val="false"/>
          <w:sz w:val="18"/>
          <w:shd w:fill="E5E4E2" w:val="clear"/>
        </w:rPr>
        <w:t xml:space="preserve">​ </w:t>
      </w:r>
    </w:p>
    <w:p>
      <w:pPr>
        <w:pStyle w:val="TextBody"/>
        <w:bidi w:val="0"/>
        <w:spacing w:before="0" w:after="394"/>
        <w:ind w:left="0" w:right="40" w:hanging="0"/>
        <w:jc w:val="center"/>
        <w:rPr>
          <w:caps w:val="false"/>
          <w:smallCaps w:val="false"/>
          <w:color w:val="000000"/>
          <w:shd w:fill="FFFFFF" w:val="clear"/>
        </w:rPr>
      </w:pPr>
      <w:r>
        <w:rPr>
          <w:caps w:val="false"/>
          <w:smallCaps w:val="false"/>
          <w:color w:val="000000"/>
          <w:shd w:fill="FFFFFF" w:val="clear"/>
        </w:rPr>
        <w:drawing>
          <wp:inline distT="0" distB="0" distL="0" distR="0">
            <wp:extent cx="7543800" cy="9829800"/>
            <wp:effectExtent l="0" t="0" r="0" b="0"/>
            <wp:docPr id="326"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182" descr=""/>
                    <pic:cNvPicPr>
                      <a:picLocks noChangeAspect="1" noChangeArrowheads="1"/>
                    </pic:cNvPicPr>
                  </pic:nvPicPr>
                  <pic:blipFill>
                    <a:blip r:embed="rId192"/>
                    <a:stretch>
                      <a:fillRect/>
                    </a:stretch>
                  </pic:blipFill>
                  <pic:spPr bwMode="auto">
                    <a:xfrm>
                      <a:off x="0" y="0"/>
                      <a:ext cx="7543800" cy="9829800"/>
                    </a:xfrm>
                    <a:prstGeom prst="rect">
                      <a:avLst/>
                    </a:prstGeom>
                  </pic:spPr>
                </pic:pic>
              </a:graphicData>
            </a:graphic>
          </wp:inline>
        </w:drawing>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50" w:before="120" w:after="2700"/>
        <w:ind w:left="89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In accordance with the requirements of Section 14A of the Securities Exchange Act of 1934, as amended, we are asking our shareholders to approve, on a non-binding, advisory basis, the compensation of our NEOs for fiscal year 2026, as disclosed in this proxy statement. This “Say-on-Pay” vote is not intended to address any specific item of compensation, but rather the overall compensation paid to our NEOs in fiscal year 2026, as disclosed in this proxy statement.</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As described in the “Compensation Discussion and Analysis” section of this proxy statement, we believe that we have created a pay-for-performance executive compensation program that is linked to our strategy and the drivers of long-term shareholder value, helps us attract and retain executive talent, and aligns the long-term interests of our executives and shareholders.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We urge shareholders to read the Compensation Discussion and Analysis, as well as the Summary Compensation Table, and the related compensation tables and narratives of this proxy statement. This information provides detailed information regarding our executive compensation philosophy, program, policies, and processes, as well as the compensation paid to our NEOs. As has been our practice, the Company will continue to respond to investor questions during meetings occurring throughout the year.</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Board requests shareholders to vote to approve the following advisory resolution at the Annual Meeting:</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ind w:left="10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i w:val="false"/>
          <w:caps w:val="false"/>
          <w:smallCaps w:val="false"/>
          <w:color w:val="000000"/>
          <w:spacing w:val="-2"/>
          <w:sz w:val="19"/>
          <w:shd w:fill="FFFFFF" w:val="clear"/>
        </w:rPr>
        <w:t>RESOLVED</w:t>
      </w:r>
      <w:r>
        <w:rPr>
          <w:rFonts w:ascii="Arial;Helvetica;sans-serif" w:hAnsi="Arial;Helvetica;sans-serif"/>
          <w:b w:val="false"/>
          <w:i w:val="false"/>
          <w:caps w:val="false"/>
          <w:smallCaps w:val="false"/>
          <w:color w:val="000000"/>
          <w:spacing w:val="-1"/>
          <w:sz w:val="19"/>
          <w:shd w:fill="FFFFFF" w:val="clear"/>
        </w:rPr>
        <w:t>, that the shareholders of Coherent Corp. (the “Company”) approve, on an advisory basis, the compensation of the Company’s Named Executive Officers as described and disclosed in the Compensation Discussion and Analysis, the compensation tables, and any related material contained in the proxy statement for the Company’s 2026 Annual Meeting of Shareholders.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Because this vote is advisory, it will not be binding upon the Board or the Compensation and Human Capital Committee. However, the Compensation and Human Capital Committee will take the outcome of the vote into account when considering future executive compensation arrangements. After this vote, our next “Say-on-Pay” vote will be held at our fiscal year 2027 annual meeting of shareholders.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affirmative vote of at least a majority of the votes that all shareholders present at the Annual Meeting, in person or by proxy, are entitled to cast is required to approve on a non-binding advisory basis the compensation of our named executive officers for fiscal year 2026, as disclosed in this proxy statement. Abstentions have the effect of an “AGAINST” vote, and broker non-votes have no effect.</w:t>
      </w:r>
      <w:r>
        <w:rPr>
          <w:rFonts w:ascii="Arial;Helvetica;sans-serif" w:hAnsi="Arial;Helvetica;sans-serif"/>
          <w:b w:val="false"/>
          <w:i w:val="false"/>
          <w:caps w:val="false"/>
          <w:smallCaps w:val="false"/>
          <w:color w:val="000000"/>
          <w:spacing w:val="4"/>
          <w:sz w:val="19"/>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109"/>
        <w:gridCol w:w="877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0068C7"/>
            </w:tcBorders>
            <w:tcMar>
              <w:bottom w:w="28" w:type="dxa"/>
            </w:tcMar>
            <w:vAlign w:val="center"/>
          </w:tcPr>
          <w:p>
            <w:pPr>
              <w:pStyle w:val="TableContents"/>
              <w:bidi w:val="0"/>
              <w:spacing w:before="0" w:after="283"/>
              <w:jc w:val="left"/>
              <w:rPr/>
            </w:pPr>
            <w:r>
              <w:rPr/>
              <w:t>​</w:t>
            </w:r>
          </w:p>
        </w:tc>
        <w:tc>
          <w:tcPr>
            <w:tcW w:w="8776" w:type="dxa"/>
            <w:tcBorders>
              <w:bottom w:val="single" w:sz="8" w:space="0" w:color="0068C7"/>
            </w:tcBorders>
            <w:tcMar>
              <w:bottom w:w="215" w:type="dxa"/>
            </w:tcMar>
            <w:vAlign w:val="center"/>
          </w:tcPr>
          <w:p>
            <w:pPr>
              <w:pStyle w:val="TableContents"/>
              <w:bidi w:val="0"/>
              <w:spacing w:before="0" w:after="0"/>
              <w:jc w:val="center"/>
              <w:rPr/>
            </w:pPr>
            <w:r>
              <w:rPr>
                <w:spacing w:val="-2"/>
              </w:rPr>
              <w:t xml:space="preserve">THE BOARD OF DIRECTORS UNANIMOUSLY RECOMMENDS A VOTE </w:t>
            </w:r>
            <w:r>
              <w:rPr>
                <w:spacing w:val="-2"/>
                <w:u w:val="single"/>
              </w:rPr>
              <w:t>FOR</w:t>
            </w:r>
            <w:r>
              <w:rPr>
                <w:spacing w:val="-2"/>
              </w:rPr>
              <w:t xml:space="preserve"> THE RESOLUTION APPROVING, ON </w:t>
              <w:br/>
              <w:t xml:space="preserve">A NON-BINDING ADVISORY BASIS, THE COMPANY’S FISCAL YEAR 2026 NAMED EXECUTIVE OFFICER </w:t>
              <w:br/>
              <w:t>COMPENSATION AS DISCLOSED IN THIS PROXY STATEMENT.</w:t>
            </w:r>
            <w:r>
              <w:rPr/>
              <w:t xml:space="preserve"> </w:t>
            </w:r>
          </w:p>
        </w:tc>
        <w:tc>
          <w:tcPr>
            <w:tcW w:w="109" w:type="dxa"/>
            <w:tcBorders>
              <w:bottom w:val="single" w:sz="8" w:space="0" w:color="0068C7"/>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39</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6" w:name="tFY2C"/>
      <w:bookmarkEnd w:id="1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440" w:before="120" w:after="8290"/>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FISCAL YEAR 2026 COMPENSATION DISCUSSION AND ANALYSIS</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This Compensation Discussion and Analysis (“CD&amp;A”) discusses the philosophy, objectives, process, components, and additional aspects of our fiscal year 2026 executive compensation program. This CD&amp;A is intended to be read in conjunction with the tables that immediately follow this section, which provide further compensation information for our named executive officers (“NEOs”) for our fiscal year ended June 30, 2026 (“fiscal year 2026 or fiscal 2026”) who were the following:</w:t>
      </w:r>
      <w:r>
        <w:rPr>
          <w:rFonts w:ascii="Arial;Helvetica;sans-serif" w:hAnsi="Arial;Helvetica;sans-serif"/>
          <w:b w:val="false"/>
          <w:i w:val="false"/>
          <w:caps w:val="false"/>
          <w:smallCaps w:val="false"/>
          <w:color w:val="000000"/>
          <w:spacing w:val="4"/>
          <w:sz w:val="19"/>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3507"/>
        <w:gridCol w:w="109"/>
        <w:gridCol w:w="109"/>
        <w:gridCol w:w="5268"/>
        <w:gridCol w:w="155"/>
      </w:tblGrid>
      <w:tr>
        <w:trPr/>
        <w:tc>
          <w:tcPr>
            <w:tcW w:w="124" w:type="dxa"/>
            <w:tcBorders/>
            <w:shd w:fill="000000" w:val="clear"/>
            <w:vAlign w:val="center"/>
          </w:tcPr>
          <w:p>
            <w:pPr>
              <w:pStyle w:val="TableContents"/>
              <w:bidi w:val="0"/>
              <w:spacing w:before="0" w:after="283"/>
              <w:jc w:val="left"/>
              <w:rPr/>
            </w:pPr>
            <w:r>
              <w:rPr/>
              <w:t>​</w:t>
            </w:r>
          </w:p>
        </w:tc>
        <w:tc>
          <w:tcPr>
            <w:tcW w:w="3507" w:type="dxa"/>
            <w:tcBorders/>
            <w:shd w:fill="000000" w:val="clear"/>
            <w:vAlign w:val="center"/>
          </w:tcPr>
          <w:p>
            <w:pPr>
              <w:pStyle w:val="TableContents"/>
              <w:bidi w:val="0"/>
              <w:spacing w:before="0" w:after="0"/>
              <w:jc w:val="left"/>
              <w:rPr/>
            </w:pPr>
            <w:r>
              <w:rPr/>
              <w:t xml:space="preserve">Named Executive Officer (“NEO”)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68" w:type="dxa"/>
            <w:tcBorders/>
            <w:shd w:fill="000000" w:val="clear"/>
            <w:vAlign w:val="center"/>
          </w:tcPr>
          <w:p>
            <w:pPr>
              <w:pStyle w:val="TableContents"/>
              <w:bidi w:val="0"/>
              <w:spacing w:before="0" w:after="0"/>
              <w:jc w:val="left"/>
              <w:rPr/>
            </w:pPr>
            <w:r>
              <w:rPr/>
              <w:t xml:space="preserve">Position </w:t>
            </w:r>
          </w:p>
        </w:tc>
        <w:tc>
          <w:tcPr>
            <w:tcW w:w="155"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3507"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James R. Anderson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268"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Chief Executive Officer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3507"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Sherri Luther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268"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Chief Financial Officer and Treasurer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3507"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Rob Beard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268"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Chief Strategy and Legal Affairs Officer and Secretary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3507"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Julie Eng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268"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Chief Technology Officer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3507"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Jeffrey Place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268"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Chief Supply Chain Officer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3507" w:type="dxa"/>
            <w:tcBorders>
              <w:bottom w:val="single" w:sz="2" w:space="0" w:color="666666"/>
            </w:tcBorders>
            <w:tcMar>
              <w:bottom w:w="88" w:type="dxa"/>
            </w:tcMar>
            <w:vAlign w:val="center"/>
          </w:tcPr>
          <w:p>
            <w:pPr>
              <w:pStyle w:val="TableContents"/>
              <w:bidi w:val="0"/>
              <w:spacing w:before="0" w:after="283"/>
              <w:jc w:val="left"/>
              <w:rPr/>
            </w:pPr>
            <w:r>
              <w:rPr>
                <w:spacing w:val="-1"/>
              </w:rPr>
              <w:t>Giovanni Barbarossa</w:t>
            </w:r>
            <w:r>
              <w:rPr>
                <w:spacing w:val="-1"/>
                <w:sz w:val="12"/>
              </w:rPr>
              <w:t>1</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268" w:type="dxa"/>
            <w:tcBorders>
              <w:bottom w:val="single" w:sz="2" w:space="0" w:color="666666"/>
            </w:tcBorders>
            <w:tcMar>
              <w:bottom w:w="88" w:type="dxa"/>
            </w:tcMar>
            <w:vAlign w:val="center"/>
          </w:tcPr>
          <w:p>
            <w:pPr>
              <w:pStyle w:val="TableContents"/>
              <w:bidi w:val="0"/>
              <w:spacing w:before="0" w:after="283"/>
              <w:jc w:val="left"/>
              <w:rPr/>
            </w:pPr>
            <w:r>
              <w:rPr>
                <w:spacing w:val="-1"/>
              </w:rPr>
              <w:t>Former Chief Strategy Officer</w:t>
            </w:r>
            <w:r>
              <w:rPr/>
              <w:t xml:space="preserve">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200" w:after="0"/>
        <w:ind w:left="1213" w:right="40" w:hanging="0"/>
        <w:jc w:val="left"/>
        <w:rPr>
          <w:rFonts w:ascii="Arial;Helvetica;sans-serif" w:hAnsi="Arial;Helvetica;sans-serif"/>
          <w:b w:val="false"/>
          <w:i w:val="false"/>
          <w:caps w:val="false"/>
          <w:smallCaps w:val="false"/>
          <w:color w:val="000000"/>
          <w:spacing w:val="-1"/>
          <w:sz w:val="14"/>
          <w:shd w:fill="FFFFFF" w:val="clear"/>
        </w:rPr>
      </w:pPr>
      <w:r>
        <w:rPr>
          <w:rFonts w:ascii="Arial;Helvetica;sans-serif" w:hAnsi="Arial;Helvetica;sans-serif"/>
          <w:b w:val="false"/>
          <w:i w:val="false"/>
          <w:caps w:val="false"/>
          <w:smallCaps w:val="false"/>
          <w:color w:val="000000"/>
          <w:spacing w:val="-1"/>
          <w:sz w:val="14"/>
          <w:shd w:fill="FFFFFF" w:val="clear"/>
        </w:rPr>
        <w:t xml:space="preserve">Dr. Barbarossa is no longer an executive officer as of May 20, 2026. </w:t>
      </w:r>
      <w:r>
        <mc:AlternateContent>
          <mc:Choice Requires="wps">
            <w:drawing>
              <wp:anchor behindDoc="0" distT="127000" distB="0" distL="0" distR="0" simplePos="0" locked="0" layoutInCell="1" allowOverlap="1" relativeHeight="358">
                <wp:simplePos x="0" y="0"/>
                <wp:positionH relativeFrom="column">
                  <wp:align>left</wp:align>
                </wp:positionH>
                <wp:positionV relativeFrom="line">
                  <wp:align>top</wp:align>
                </wp:positionV>
                <wp:extent cx="203200" cy="204470"/>
                <wp:effectExtent l="0" t="0" r="0" b="0"/>
                <wp:wrapSquare wrapText="right"/>
                <wp:docPr id="327" name="Frame136"/>
                <a:graphic xmlns:a="http://schemas.openxmlformats.org/drawingml/2006/main">
                  <a:graphicData uri="http://schemas.microsoft.com/office/word/2010/wordprocessingShape">
                    <wps:wsp>
                      <wps:cNvSpPr txBox="1"/>
                      <wps:spPr>
                        <a:xfrm>
                          <a:off x="0" y="0"/>
                          <a:ext cx="203200" cy="204470"/>
                        </a:xfrm>
                        <a:prstGeom prst="rect"/>
                        <a:solidFill>
                          <a:srgbClr val="FFFFFF"/>
                        </a:solidFill>
                      </wps:spPr>
                      <wps:txbx>
                        <w:txbxContent>
                          <w:p>
                            <w:pPr>
                              <w:pStyle w:val="TextBody"/>
                              <w:bidi w:val="0"/>
                              <w:spacing w:before="0" w:after="283"/>
                              <w:jc w:val="left"/>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16pt;height:16.1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before="0" w:after="283"/>
                        <w:jc w:val="left"/>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40</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640" w:before="120" w:after="5419"/>
        <w:ind w:left="893" w:right="40" w:hanging="0"/>
        <w:jc w:val="left"/>
        <w:rPr>
          <w:rFonts w:ascii="Tahoma;Geneva;sans-serif" w:hAnsi="Tahoma;Geneva;sans-serif"/>
          <w:b/>
          <w:i w:val="false"/>
          <w:caps w:val="false"/>
          <w:smallCaps w:val="false"/>
          <w:color w:val="0068C7"/>
          <w:sz w:val="60"/>
          <w:shd w:fill="FFFFFF" w:val="clear"/>
        </w:rPr>
      </w:pPr>
      <w:r>
        <w:rPr>
          <w:rFonts w:ascii="Tahoma;Geneva;sans-serif" w:hAnsi="Tahoma;Geneva;sans-serif"/>
          <w:b/>
          <w:i w:val="false"/>
          <w:caps w:val="false"/>
          <w:smallCaps w:val="false"/>
          <w:color w:val="0068C7"/>
          <w:sz w:val="60"/>
          <w:shd w:fill="FFFFFF" w:val="clear"/>
        </w:rPr>
        <w:t>I. EXECUTIVE SUMMARY</w:t>
      </w:r>
      <w:r>
        <w:rPr>
          <w:rFonts w:ascii="Tahoma;Geneva;sans-serif" w:hAnsi="Tahoma;Geneva;sans-serif"/>
          <w:b/>
          <w:i w:val="false"/>
          <w:caps w:val="false"/>
          <w:smallCaps w:val="false"/>
          <w:color w:val="000000"/>
          <w:spacing w:val="12"/>
          <w:sz w:val="60"/>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COMPANY OVERVIEW</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Fiscal year 2026 was an exceptional year for Coherent. We delivered record revenue of $7.1 billion, representing 22.5% year-over-year growth, while expanding GAAP gross margin and generating robust GAAP and non-GAAP earnings per share. These results reflect the strength of our strategy, the disciplined execution of our executive leadership team and the differentiated breadth and scale of our photonics platform.</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60" w:before="274"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We enter fiscal year 2027 with exceptional customer demand, expanding manufacturing capacity and multiple new growth platforms beginning to ramp. Coherent’s broad technology portfolio and global manufacturing scale position us to help enable the performance, bandwidth and energy efficiency required by increasingly large and complex data center networks. We also remain focused on advancing our industrial business, where our differentiated materials and laser technologies support customers across a diverse range of high-value applications.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640" w:before="564" w:after="283"/>
        <w:jc w:val="left"/>
        <w:rPr>
          <w:rFonts w:ascii="Tahoma;Geneva;sans-serif" w:hAnsi="Tahoma;Geneva;sans-serif"/>
          <w:b/>
          <w:i w:val="false"/>
          <w:caps w:val="false"/>
          <w:smallCaps w:val="false"/>
          <w:color w:val="0068C7"/>
          <w:sz w:val="60"/>
          <w:shd w:fill="FFFFFF" w:val="clear"/>
        </w:rPr>
      </w:pPr>
      <w:r>
        <w:rPr>
          <w:rFonts w:ascii="Tahoma;Geneva;sans-serif" w:hAnsi="Tahoma;Geneva;sans-serif"/>
          <w:b/>
          <w:i w:val="false"/>
          <w:caps w:val="false"/>
          <w:smallCaps w:val="false"/>
          <w:color w:val="0068C7"/>
          <w:sz w:val="60"/>
          <w:shd w:fill="FFFFFF" w:val="clear"/>
        </w:rPr>
        <w:t>FISCAL YEAR 2026 PERFORMANCE HIGHLIGHTS</w:t>
      </w:r>
      <w:r>
        <w:rPr>
          <w:rFonts w:ascii="Tahoma;Geneva;sans-serif" w:hAnsi="Tahoma;Geneva;sans-serif"/>
          <w:b/>
          <w:i w:val="false"/>
          <w:caps w:val="false"/>
          <w:smallCaps w:val="false"/>
          <w:color w:val="000000"/>
          <w:spacing w:val="12"/>
          <w:sz w:val="60"/>
          <w:shd w:fill="FFFFFF" w:val="clear"/>
        </w:rPr>
        <w:t xml:space="preserve"> </w:t>
      </w:r>
    </w:p>
    <w:p>
      <w:pPr>
        <w:pStyle w:val="TextBody"/>
        <w:bidi w:val="0"/>
        <w:spacing w:before="220" w:after="283"/>
        <w:jc w:val="center"/>
        <w:rPr>
          <w:caps w:val="false"/>
          <w:smallCaps w:val="false"/>
          <w:color w:val="000000"/>
          <w:shd w:fill="FFFFFF" w:val="clear"/>
        </w:rPr>
      </w:pPr>
      <w:r>
        <w:rPr>
          <w:caps w:val="false"/>
          <w:smallCaps w:val="false"/>
          <w:color w:val="000000"/>
          <w:shd w:fill="FFFFFF" w:val="clear"/>
        </w:rPr>
        <w:drawing>
          <wp:inline distT="0" distB="0" distL="0" distR="0">
            <wp:extent cx="6410325" cy="962025"/>
            <wp:effectExtent l="0" t="0" r="0" b="0"/>
            <wp:docPr id="328"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183" descr=""/>
                    <pic:cNvPicPr>
                      <a:picLocks noChangeAspect="1" noChangeArrowheads="1"/>
                    </pic:cNvPicPr>
                  </pic:nvPicPr>
                  <pic:blipFill>
                    <a:blip r:embed="rId193"/>
                    <a:stretch>
                      <a:fillRect/>
                    </a:stretch>
                  </pic:blipFill>
                  <pic:spPr bwMode="auto">
                    <a:xfrm>
                      <a:off x="0" y="0"/>
                      <a:ext cx="6410325" cy="96202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180" w:before="249" w:after="0"/>
        <w:ind w:left="137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Based on earnings reported on August 12, 2026. Refer to reconciliation of GAAP and Non-GAAP measures in the Appendix.</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158115" distB="0" distL="0" distR="0" simplePos="0" locked="0" layoutInCell="1" allowOverlap="1" relativeHeight="359">
                <wp:simplePos x="0" y="0"/>
                <wp:positionH relativeFrom="column">
                  <wp:align>left</wp:align>
                </wp:positionH>
                <wp:positionV relativeFrom="line">
                  <wp:align>top</wp:align>
                </wp:positionV>
                <wp:extent cx="304800" cy="228600"/>
                <wp:effectExtent l="0" t="0" r="0" b="0"/>
                <wp:wrapSquare wrapText="right"/>
                <wp:docPr id="329" name="Frame137"/>
                <a:graphic xmlns:a="http://schemas.openxmlformats.org/drawingml/2006/main">
                  <a:graphicData uri="http://schemas.microsoft.com/office/word/2010/wordprocessingShape">
                    <wps:wsp>
                      <wps:cNvSpPr txBox="1"/>
                      <wps:spPr>
                        <a:xfrm>
                          <a:off x="0" y="0"/>
                          <a:ext cx="3048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 (**)</w:t>
                            </w:r>
                            <w:r>
                              <w:rPr>
                                <w:sz w:val="14"/>
                              </w:rPr>
                              <w:t xml:space="preserve"> </w:t>
                              <w:br/>
                            </w:r>
                          </w:p>
                        </w:txbxContent>
                      </wps:txbx>
                      <wps:bodyPr anchor="t" lIns="0" tIns="0" rIns="0" bIns="0">
                        <a:noAutofit/>
                      </wps:bodyPr>
                    </wps:wsp>
                  </a:graphicData>
                </a:graphic>
              </wp:anchor>
            </w:drawing>
          </mc:Choice>
          <mc:Fallback>
            <w:pict>
              <v:rect style="position:absolute;rotation:-0;width:24pt;height:18pt;mso-wrap-distance-left:0pt;mso-wrap-distance-right:0pt;mso-wrap-distance-top:12.45pt;mso-wrap-distance-bottom:0pt;margin-top:12.45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 (**)</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41</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440" w:before="120" w:after="2405"/>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FISCAL YEAR 2026 EXECUTIVE COMPENSATION PROGRAM OVERVIEW</w:t>
      </w:r>
      <w:r>
        <w:rPr>
          <w:rFonts w:ascii="Tahoma;Geneva;sans-serif" w:hAnsi="Tahoma;Geneva;sans-serif"/>
          <w:b/>
          <w:i w:val="false"/>
          <w:caps w:val="false"/>
          <w:smallCaps w:val="false"/>
          <w:color w:val="000000"/>
          <w:spacing w:val="8"/>
          <w:sz w:val="40"/>
          <w:shd w:fill="FFFFFF" w:val="clear"/>
        </w:rPr>
        <w:t xml:space="preserve"> </w:t>
      </w:r>
    </w:p>
    <w:tbl>
      <w:tblPr>
        <w:tblW w:w="9272" w:type="dxa"/>
        <w:jc w:val="left"/>
        <w:tblInd w:w="893" w:type="dxa"/>
        <w:tblLayout w:type="fixed"/>
        <w:tblCellMar>
          <w:top w:w="0" w:type="dxa"/>
          <w:left w:w="0" w:type="dxa"/>
          <w:bottom w:w="28" w:type="dxa"/>
          <w:right w:w="0" w:type="dxa"/>
        </w:tblCellMar>
      </w:tblPr>
      <w:tblGrid>
        <w:gridCol w:w="124"/>
        <w:gridCol w:w="1822"/>
        <w:gridCol w:w="109"/>
        <w:gridCol w:w="109"/>
        <w:gridCol w:w="6953"/>
        <w:gridCol w:w="155"/>
      </w:tblGrid>
      <w:tr>
        <w:trPr/>
        <w:tc>
          <w:tcPr>
            <w:tcW w:w="124" w:type="dxa"/>
            <w:tcBorders>
              <w:bottom w:val="single" w:sz="2" w:space="0" w:color="666666"/>
            </w:tcBorders>
            <w:vAlign w:val="center"/>
          </w:tcPr>
          <w:p>
            <w:pPr>
              <w:pStyle w:val="TableContents"/>
              <w:bidi w:val="0"/>
              <w:spacing w:before="0" w:after="283"/>
              <w:jc w:val="left"/>
              <w:rPr/>
            </w:pPr>
            <w:r>
              <w:rPr/>
              <w:t>​</w:t>
            </w:r>
          </w:p>
        </w:tc>
        <w:tc>
          <w:tcPr>
            <w:tcW w:w="1822" w:type="dxa"/>
            <w:tcBorders>
              <w:bottom w:val="single" w:sz="2" w:space="0" w:color="666666"/>
            </w:tcBorders>
            <w:tcMar>
              <w:bottom w:w="84" w:type="dxa"/>
            </w:tcMar>
            <w:vAlign w:val="center"/>
          </w:tcPr>
          <w:p>
            <w:pPr>
              <w:pStyle w:val="TableContents"/>
              <w:bidi w:val="0"/>
              <w:spacing w:before="0" w:after="0"/>
              <w:jc w:val="left"/>
              <w:rPr>
                <w:b/>
              </w:rPr>
            </w:pPr>
            <w:r>
              <w:rPr>
                <w:b/>
                <w:spacing w:val="0"/>
              </w:rPr>
              <w:t>Continued review of NEO compensation</w:t>
            </w:r>
            <w:r>
              <w:rPr>
                <w:b/>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6953" w:type="dxa"/>
            <w:tcBorders>
              <w:bottom w:val="single" w:sz="2" w:space="0" w:color="666666"/>
            </w:tcBorders>
            <w:tcMar>
              <w:bottom w:w="84" w:type="dxa"/>
            </w:tcMar>
            <w:vAlign w:val="center"/>
          </w:tcPr>
          <w:p>
            <w:pPr>
              <w:pStyle w:val="TableContents"/>
              <w:bidi w:val="0"/>
              <w:spacing w:before="0" w:after="283"/>
              <w:jc w:val="left"/>
              <w:rPr>
                <w:spacing w:val="-1"/>
              </w:rPr>
            </w:pPr>
            <w:r>
              <w:rPr>
                <w:spacing w:val="-1"/>
              </w:rPr>
              <w:t xml:space="preserve">The Compensation and Human Capital Committee (the “Committee”) continually reviews our NEO compensation elements and target opportunities against our peer group benchmarks. </w:t>
            </w:r>
          </w:p>
        </w:tc>
        <w:tc>
          <w:tcPr>
            <w:tcW w:w="155"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1822" w:type="dxa"/>
            <w:tcBorders>
              <w:bottom w:val="single" w:sz="2" w:space="0" w:color="666666"/>
            </w:tcBorders>
            <w:tcMar>
              <w:bottom w:w="127" w:type="dxa"/>
            </w:tcMar>
            <w:vAlign w:val="center"/>
          </w:tcPr>
          <w:p>
            <w:pPr>
              <w:pStyle w:val="TableContents"/>
              <w:bidi w:val="0"/>
              <w:spacing w:before="0" w:after="0"/>
              <w:jc w:val="left"/>
              <w:rPr>
                <w:b/>
              </w:rPr>
            </w:pPr>
            <w:r>
              <w:rPr>
                <w:b/>
                <w:spacing w:val="0"/>
              </w:rPr>
              <w:t>Annual incentive program</w:t>
            </w:r>
            <w:r>
              <w:rPr>
                <w:b/>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6953" w:type="dxa"/>
            <w:tcBorders>
              <w:bottom w:val="single" w:sz="2" w:space="0" w:color="666666"/>
            </w:tcBorders>
            <w:tcMar>
              <w:bottom w:w="127" w:type="dxa"/>
            </w:tcMar>
            <w:vAlign w:val="center"/>
          </w:tcPr>
          <w:p>
            <w:pPr>
              <w:pStyle w:val="TableContents"/>
              <w:bidi w:val="0"/>
              <w:spacing w:before="0" w:after="0"/>
              <w:jc w:val="left"/>
              <w:rPr/>
            </w:pPr>
            <w:r>
              <w:rPr>
                <w:spacing w:val="-1"/>
              </w:rPr>
              <w:t>Moved to single a program called the Employee Incentive Program (“EIP”), which replaced Goals Results Incentive Program (“GRIP”) and broader-based Bonus Incentive Program (“BIP”), as further described in the “Components of our Compensation Program — Annual Cash Incentive Programs” section of this CD&amp;A.</w:t>
            </w:r>
            <w:r>
              <w:rPr/>
              <w:t xml:space="preserve"> </w:t>
            </w:r>
          </w:p>
          <w:p>
            <w:pPr>
              <w:pStyle w:val="TableContents"/>
              <w:bidi w:val="0"/>
              <w:spacing w:before="120" w:after="283"/>
              <w:jc w:val="left"/>
              <w:rPr>
                <w:spacing w:val="-1"/>
              </w:rPr>
            </w:pPr>
            <w:r>
              <w:rPr>
                <w:spacing w:val="-1"/>
              </w:rPr>
              <w:t xml:space="preserve">In fiscal year 2026, the Company achieved record revenue and adjusted EBITDA. As a result, overall performance under the fiscal year 2026 EIP had an achievement level of 190% (above target). </w:t>
            </w:r>
          </w:p>
        </w:tc>
        <w:tc>
          <w:tcPr>
            <w:tcW w:w="155"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1822" w:type="dxa"/>
            <w:tcBorders>
              <w:bottom w:val="single" w:sz="2" w:space="0" w:color="666666"/>
            </w:tcBorders>
            <w:tcMar>
              <w:bottom w:w="127" w:type="dxa"/>
            </w:tcMar>
            <w:vAlign w:val="center"/>
          </w:tcPr>
          <w:p>
            <w:pPr>
              <w:pStyle w:val="TableContents"/>
              <w:bidi w:val="0"/>
              <w:spacing w:before="0" w:after="0"/>
              <w:jc w:val="left"/>
              <w:rPr>
                <w:b/>
              </w:rPr>
            </w:pPr>
            <w:r>
              <w:rPr>
                <w:b/>
                <w:spacing w:val="0"/>
              </w:rPr>
              <w:t>Long-term incentives</w:t>
            </w:r>
            <w:r>
              <w:rPr>
                <w:b/>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6953" w:type="dxa"/>
            <w:tcBorders>
              <w:bottom w:val="single" w:sz="2" w:space="0" w:color="666666"/>
            </w:tcBorders>
            <w:tcMar>
              <w:bottom w:w="127" w:type="dxa"/>
            </w:tcMar>
            <w:vAlign w:val="center"/>
          </w:tcPr>
          <w:p>
            <w:pPr>
              <w:pStyle w:val="TableContents"/>
              <w:bidi w:val="0"/>
              <w:spacing w:before="0" w:after="0"/>
              <w:jc w:val="left"/>
              <w:rPr/>
            </w:pPr>
            <w:r>
              <w:rPr>
                <w:spacing w:val="-1"/>
              </w:rPr>
              <w:t>Maintained a performance focused equity mix of 60% performance stock units (“PSUs”) (at target) and 40% time-based restricted stock units (“RSUs”) in the long-term incentive program.</w:t>
            </w:r>
            <w:r>
              <w:rPr/>
              <w:t xml:space="preserve"> </w:t>
            </w:r>
          </w:p>
          <w:p>
            <w:pPr>
              <w:pStyle w:val="TableContents"/>
              <w:bidi w:val="0"/>
              <w:spacing w:before="120" w:after="283"/>
              <w:jc w:val="left"/>
              <w:rPr>
                <w:spacing w:val="-1"/>
              </w:rPr>
            </w:pPr>
            <w:r>
              <w:rPr>
                <w:spacing w:val="-1"/>
              </w:rPr>
              <w:t xml:space="preserve">Granted PSUs with a three-year performance period of July 1, 2025 through June 30, 2028, which awards are earned based on rTSR (100%) measured against S&amp;P Composite 1500 — Electronic Equipment Instruments &amp; Components Index. </w:t>
            </w:r>
          </w:p>
        </w:tc>
        <w:tc>
          <w:tcPr>
            <w:tcW w:w="155"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1822" w:type="dxa"/>
            <w:tcBorders>
              <w:bottom w:val="single" w:sz="2" w:space="0" w:color="666666"/>
            </w:tcBorders>
            <w:tcMar>
              <w:bottom w:w="127" w:type="dxa"/>
            </w:tcMar>
            <w:vAlign w:val="center"/>
          </w:tcPr>
          <w:p>
            <w:pPr>
              <w:pStyle w:val="TableContents"/>
              <w:bidi w:val="0"/>
              <w:spacing w:before="0" w:after="0"/>
              <w:jc w:val="left"/>
              <w:rPr>
                <w:b/>
              </w:rPr>
            </w:pPr>
            <w:r>
              <w:rPr>
                <w:b/>
                <w:spacing w:val="0"/>
              </w:rPr>
              <w:t>Fiscal year 2024 PSUs</w:t>
            </w:r>
            <w:r>
              <w:rPr>
                <w:b/>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6953" w:type="dxa"/>
            <w:tcBorders>
              <w:bottom w:val="single" w:sz="2" w:space="0" w:color="666666"/>
            </w:tcBorders>
            <w:tcMar>
              <w:bottom w:w="127" w:type="dxa"/>
            </w:tcMar>
            <w:vAlign w:val="center"/>
          </w:tcPr>
          <w:p>
            <w:pPr>
              <w:pStyle w:val="TableContents"/>
              <w:bidi w:val="0"/>
              <w:spacing w:before="0" w:after="283"/>
              <w:jc w:val="left"/>
              <w:rPr/>
            </w:pPr>
            <w:r>
              <w:rPr>
                <w:spacing w:val="-1"/>
              </w:rPr>
              <w:t>Fiscal year 2024 PSUs were tied to performance against two equally weighted metrics (rTSR and Cash Flow from Operations). Strong shareholder returns resulted in a 200% achievement for the rTSR PSUs. The Cash Flow from Operations PSUs did not achieve the threshold performance level and resulted in zero percent payout, underscoring the program’s rigor. Each of the metrics is further described under “Components of our Compensation Program — Fiscal Year 2024-2026 PSU” section of this CD&amp;A.</w:t>
            </w:r>
            <w:r>
              <w:rPr/>
              <w:t xml:space="preserve"> </w:t>
            </w:r>
          </w:p>
        </w:tc>
        <w:tc>
          <w:tcPr>
            <w:tcW w:w="155" w:type="dxa"/>
            <w:tcBorders>
              <w:bottom w:val="single" w:sz="2" w:space="0" w:color="666666"/>
            </w:tcBorders>
            <w:vAlign w:val="center"/>
          </w:tcPr>
          <w:p>
            <w:pPr>
              <w:pStyle w:val="TableContents"/>
              <w:bidi w:val="0"/>
              <w:spacing w:before="0" w:after="283"/>
              <w:jc w:val="left"/>
              <w:rPr/>
            </w:pPr>
            <w:r>
              <w:rPr/>
              <w:t>​</w:t>
            </w:r>
          </w:p>
        </w:tc>
      </w:tr>
    </w:tbl>
    <w:p>
      <w:pPr>
        <w:pStyle w:val="TextBody"/>
        <w:bidi w:val="0"/>
        <w:spacing w:lineRule="atLeast" w:line="440" w:before="440" w:after="283"/>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color w:val="000000"/>
          <w:sz w:val="40"/>
          <w:shd w:fill="FFFFFF" w:val="clear"/>
        </w:rPr>
        <w:t>Fiscal Year 2025 Say-on-Pay Vote</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pacing w:val="-1"/>
          <w:sz w:val="19"/>
          <w:shd w:fill="FFFFFF" w:val="clear"/>
        </w:rPr>
      </w:pPr>
      <w:r>
        <w:rPr>
          <w:rFonts w:ascii="Arial;Helvetica;sans-serif" w:hAnsi="Arial;Helvetica;sans-serif"/>
          <w:b w:val="false"/>
          <w:i w:val="false"/>
          <w:caps w:val="false"/>
          <w:smallCaps w:val="false"/>
          <w:color w:val="000000"/>
          <w:spacing w:val="-1"/>
          <w:sz w:val="19"/>
          <w:shd w:fill="FFFFFF" w:val="clear"/>
        </w:rPr>
        <w:t xml:space="preserve">The Committee reviewed the results of the fiscal year 2025 Say-on-Pay advisory vote as one of the many factors it considered. At our 2025 Annual Meeting of Shareholders, approximately 96% of the votes cast approved the compensation program described in the Company’s 2025 proxy statement. The Committee interpreted this level of support as affirmation of the design and objectives of our NEO compensation program. The Committee continues to monitor best practices among the Company’s peer group and industry standards related to executive compensation programs.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42</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640" w:before="120" w:after="283"/>
        <w:ind w:left="893" w:right="40" w:hanging="0"/>
        <w:jc w:val="left"/>
        <w:rPr>
          <w:rFonts w:ascii="Tahoma;Geneva;sans-serif" w:hAnsi="Tahoma;Geneva;sans-serif"/>
          <w:b/>
          <w:i w:val="false"/>
          <w:caps w:val="false"/>
          <w:smallCaps w:val="false"/>
          <w:color w:val="0068C7"/>
          <w:sz w:val="60"/>
          <w:shd w:fill="FFFFFF" w:val="clear"/>
        </w:rPr>
      </w:pPr>
      <w:r>
        <w:rPr>
          <w:rFonts w:ascii="Tahoma;Geneva;sans-serif" w:hAnsi="Tahoma;Geneva;sans-serif"/>
          <w:b/>
          <w:i w:val="false"/>
          <w:caps w:val="false"/>
          <w:smallCaps w:val="false"/>
          <w:color w:val="0068C7"/>
          <w:sz w:val="60"/>
          <w:shd w:fill="FFFFFF" w:val="clear"/>
        </w:rPr>
        <w:t>II. COMPENSATION PHILOSOPHY AND OBJECTIVES</w:t>
      </w:r>
      <w:r>
        <w:rPr>
          <w:rFonts w:ascii="Tahoma;Geneva;sans-serif" w:hAnsi="Tahoma;Geneva;sans-serif"/>
          <w:b/>
          <w:i w:val="false"/>
          <w:caps w:val="false"/>
          <w:smallCaps w:val="false"/>
          <w:color w:val="000000"/>
          <w:spacing w:val="12"/>
          <w:sz w:val="60"/>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3184"/>
        <w:gridCol w:w="109"/>
        <w:gridCol w:w="109"/>
        <w:gridCol w:w="109"/>
        <w:gridCol w:w="1645"/>
        <w:gridCol w:w="109"/>
        <w:gridCol w:w="109"/>
        <w:gridCol w:w="109"/>
        <w:gridCol w:w="3509"/>
        <w:gridCol w:w="156"/>
      </w:tblGrid>
      <w:tr>
        <w:trPr/>
        <w:tc>
          <w:tcPr>
            <w:tcW w:w="124" w:type="dxa"/>
            <w:tcBorders/>
            <w:shd w:fill="F2F2F2" w:val="clear"/>
            <w:vAlign w:val="center"/>
          </w:tcPr>
          <w:p>
            <w:pPr>
              <w:pStyle w:val="TableContents"/>
              <w:bidi w:val="0"/>
              <w:spacing w:before="0" w:after="283"/>
              <w:jc w:val="left"/>
              <w:rPr/>
            </w:pPr>
            <w:r>
              <w:rPr/>
              <w:t>​</w:t>
            </w:r>
          </w:p>
        </w:tc>
        <w:tc>
          <w:tcPr>
            <w:tcW w:w="3184" w:type="dxa"/>
            <w:tcBorders/>
            <w:shd w:fill="F2F2F2" w:val="clear"/>
            <w:vAlign w:val="center"/>
          </w:tcPr>
          <w:p>
            <w:pPr>
              <w:pStyle w:val="TableContents"/>
              <w:bidi w:val="0"/>
              <w:spacing w:lineRule="atLeast" w:line="244" w:before="0" w:after="0"/>
              <w:ind w:left="20" w:right="120" w:hanging="0"/>
              <w:jc w:val="left"/>
              <w:rPr/>
            </w:pPr>
            <w:r>
              <w:rPr>
                <w:b/>
                <w:spacing w:val="0"/>
              </w:rPr>
              <w:t>Pay-for-performance:</w:t>
            </w:r>
            <w:r>
              <w:rPr/>
              <w:t xml:space="preserve"> </w:t>
              <w:br/>
            </w:r>
            <w:r>
              <w:rPr>
                <w:spacing w:val="-1"/>
              </w:rPr>
              <w:t xml:space="preserve">We aim to incentivize our executive officers by creating a strong link between their performance and compensation. We therefore base a significant portion of the total compensation packages we provide to our executive officers on measures that reflect both our short- and long-term goals and performance, as well as the executive officer’s individual performance and impact on shareholder value.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645" w:type="dxa"/>
            <w:tcBorders/>
            <w:shd w:fill="F2F2F2" w:val="clear"/>
            <w:vAlign w:val="center"/>
          </w:tcPr>
          <w:p>
            <w:pPr>
              <w:pStyle w:val="TableContents"/>
              <w:bidi w:val="0"/>
              <w:spacing w:lineRule="atLeast" w:line="244" w:before="0" w:after="0"/>
              <w:ind w:left="320" w:right="120" w:hanging="0"/>
              <w:jc w:val="left"/>
              <w:rPr/>
            </w:pPr>
            <w:r>
              <w:rPr>
                <w:b/>
                <w:spacing w:val="0"/>
              </w:rPr>
              <w:t xml:space="preserve">Alignment of executive officers’ </w:t>
              <w:br/>
              <w:t xml:space="preserve">interests with those of Coherent </w:t>
              <w:br/>
              <w:t>and its shareholders:</w:t>
            </w:r>
            <w:r>
              <w:rPr/>
              <w:t xml:space="preserve"> </w:t>
              <w:br/>
            </w:r>
            <w:r>
              <w:rPr>
                <w:spacing w:val="-1"/>
              </w:rPr>
              <w:t xml:space="preserve">Equity-based compensation </w:t>
              <w:br/>
              <w:t xml:space="preserve">constitutes a significant portion of </w:t>
              <w:br/>
              <w:t xml:space="preserve">our executive officers’ overall </w:t>
              <w:br/>
              <w:t xml:space="preserve">compensation opportunity. The </w:t>
              <w:br/>
              <w:t xml:space="preserve">Committee uses equity as the </w:t>
              <w:br/>
              <w:t xml:space="preserve">form of long-term incentive </w:t>
              <w:br/>
              <w:t xml:space="preserve">opportunities in order to </w:t>
              <w:br/>
              <w:t xml:space="preserve">incentivize and reward executive </w:t>
              <w:br/>
              <w:t xml:space="preserve">officers to (i) achieve multi-year </w:t>
              <w:br/>
              <w:t xml:space="preserve">strategic goals and (ii) deliver </w:t>
              <w:br/>
              <w:t xml:space="preserve">sustained long-term value </w:t>
              <w:br/>
              <w:t xml:space="preserve">to shareholders. </w:t>
            </w:r>
          </w:p>
        </w:tc>
        <w:tc>
          <w:tcPr>
            <w:tcW w:w="109" w:type="dxa"/>
            <w:tcBorders/>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509" w:type="dxa"/>
            <w:tcBorders/>
            <w:shd w:fill="F2F2F2" w:val="clear"/>
            <w:vAlign w:val="center"/>
          </w:tcPr>
          <w:p>
            <w:pPr>
              <w:pStyle w:val="TableContents"/>
              <w:bidi w:val="0"/>
              <w:spacing w:lineRule="atLeast" w:line="244" w:before="0" w:after="0"/>
              <w:ind w:left="320" w:right="120" w:hanging="0"/>
              <w:jc w:val="left"/>
              <w:rPr/>
            </w:pPr>
            <w:r>
              <w:rPr>
                <w:b/>
                <w:spacing w:val="0"/>
              </w:rPr>
              <w:t xml:space="preserve">Competitive compensation to </w:t>
              <w:br/>
              <w:t>attract and retain talent:</w:t>
            </w:r>
            <w:r>
              <w:rPr/>
              <w:t xml:space="preserve"> </w:t>
              <w:br/>
            </w:r>
            <w:r>
              <w:rPr>
                <w:spacing w:val="-1"/>
              </w:rPr>
              <w:t xml:space="preserve">To manage our business and </w:t>
              <w:br/>
              <w:t xml:space="preserve">carry out our strategy, we seek </w:t>
              <w:br/>
              <w:t xml:space="preserve">high-caliber executive officers </w:t>
              <w:br/>
              <w:t xml:space="preserve">and managers who have broad range of experience, expertise, </w:t>
              <w:br/>
              <w:t>capabilities and backgrounds.</w:t>
            </w:r>
            <w:r>
              <w:rPr/>
              <w:t xml:space="preserve"> </w:t>
            </w:r>
          </w:p>
          <w:p>
            <w:pPr>
              <w:pStyle w:val="TableContents"/>
              <w:bidi w:val="0"/>
              <w:spacing w:lineRule="atLeast" w:line="244" w:before="120" w:after="283"/>
              <w:ind w:left="320" w:right="120" w:hanging="0"/>
              <w:jc w:val="left"/>
              <w:rPr/>
            </w:pPr>
            <w:r>
              <w:rPr>
                <w:spacing w:val="-1"/>
              </w:rPr>
              <w:t xml:space="preserve">In recruiting our executive officers </w:t>
              <w:br/>
              <w:t xml:space="preserve">and determining competitive pay </w:t>
              <w:br/>
              <w:t xml:space="preserve">levels, the Committee references </w:t>
              <w:br/>
              <w:t xml:space="preserve">the amounts and compensation </w:t>
              <w:br/>
              <w:t xml:space="preserve">structures of executive officers in </w:t>
              <w:br/>
              <w:t xml:space="preserve">the companies in our </w:t>
              <w:br/>
              <w:t xml:space="preserve">compensation peer group and in </w:t>
              <w:br/>
              <w:t xml:space="preserve">industry surveys and utilizes the </w:t>
              <w:br/>
              <w:t xml:space="preserve">services of an independent </w:t>
              <w:br/>
              <w:t>compensation consultant.</w:t>
            </w:r>
            <w:r>
              <w:rPr/>
              <w:t xml:space="preserve"> </w:t>
            </w:r>
          </w:p>
        </w:tc>
        <w:tc>
          <w:tcPr>
            <w:tcW w:w="156" w:type="dxa"/>
            <w:tcBorders/>
            <w:shd w:fill="F2F2F2" w:val="clear"/>
            <w:vAlign w:val="center"/>
          </w:tcPr>
          <w:p>
            <w:pPr>
              <w:pStyle w:val="TableContents"/>
              <w:bidi w:val="0"/>
              <w:spacing w:before="0" w:after="283"/>
              <w:jc w:val="left"/>
              <w:rPr/>
            </w:pPr>
            <w:r>
              <w:rPr/>
              <w:t>​</w:t>
            </w:r>
          </w:p>
        </w:tc>
      </w:tr>
    </w:tbl>
    <w:p>
      <w:pPr>
        <w:pStyle w:val="TextBody"/>
        <w:bidi w:val="0"/>
        <w:spacing w:lineRule="atLeast" w:line="640" w:before="718" w:after="283"/>
        <w:ind w:left="893" w:right="40" w:hanging="0"/>
        <w:jc w:val="left"/>
        <w:rPr>
          <w:rFonts w:ascii="Tahoma;Geneva;sans-serif" w:hAnsi="Tahoma;Geneva;sans-serif"/>
          <w:b/>
          <w:i w:val="false"/>
          <w:caps w:val="false"/>
          <w:smallCaps w:val="false"/>
          <w:color w:val="0068C7"/>
          <w:sz w:val="60"/>
          <w:shd w:fill="FFFFFF" w:val="clear"/>
        </w:rPr>
      </w:pPr>
      <w:r>
        <w:rPr>
          <w:rFonts w:ascii="Tahoma;Geneva;sans-serif" w:hAnsi="Tahoma;Geneva;sans-serif"/>
          <w:b/>
          <w:i w:val="false"/>
          <w:caps w:val="false"/>
          <w:smallCaps w:val="false"/>
          <w:color w:val="0068C7"/>
          <w:sz w:val="60"/>
          <w:shd w:fill="FFFFFF" w:val="clear"/>
        </w:rPr>
        <w:t>III. COMPONENTS OF OUR COMPENSATION PROGRAM</w:t>
      </w:r>
      <w:r>
        <w:rPr>
          <w:rFonts w:ascii="Tahoma;Geneva;sans-serif" w:hAnsi="Tahoma;Geneva;sans-serif"/>
          <w:b/>
          <w:i w:val="false"/>
          <w:caps w:val="false"/>
          <w:smallCaps w:val="false"/>
          <w:color w:val="000000"/>
          <w:spacing w:val="12"/>
          <w:sz w:val="60"/>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FISCAL YEAR 2026 TARGET PAY MIX</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target pay mix supports the core principles of Coherent’s executive compensation philosophy of pay for performance and aligning executive officers’ interests with those of Coherent and its shareholders, by emphasizing both short- and long-term incentives. The Committee consistently aligns the executive officer total compensation with the Company’s strategic priorities to drive execution of our strategy.</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Committee selected the components of compensation set forth in the chart below to achieve Coherent’s executive compensation program objectives. The Committee regularly reviews all components of the program to verify that each executive officer’s total compensation is consistent with the compensation philosophy and objectives, and that each respective component is serving a purpose in supporting the execution of our strategy. The majority of each executive officer’s compensation is variable and at-risk, with a meaningful portion based on Coherent’s financial performance.</w:t>
      </w:r>
      <w:r>
        <w:rPr>
          <w:rFonts w:ascii="Arial;Helvetica;sans-serif" w:hAnsi="Arial;Helvetica;sans-serif"/>
          <w:b w:val="false"/>
          <w:i w:val="false"/>
          <w:caps w:val="false"/>
          <w:smallCaps w:val="false"/>
          <w:color w:val="000000"/>
          <w:spacing w:val="4"/>
          <w:sz w:val="19"/>
          <w:shd w:fill="FFFFFF" w:val="clear"/>
        </w:rPr>
        <w:t xml:space="preserve"> </w:t>
      </w:r>
    </w:p>
    <w:tbl>
      <w:tblPr>
        <w:tblW w:w="7118" w:type="dxa"/>
        <w:jc w:val="left"/>
        <w:tblInd w:w="893" w:type="dxa"/>
        <w:tblLayout w:type="fixed"/>
        <w:tblCellMar>
          <w:top w:w="0" w:type="dxa"/>
          <w:left w:w="0" w:type="dxa"/>
          <w:bottom w:w="0" w:type="dxa"/>
          <w:right w:w="0" w:type="dxa"/>
        </w:tblCellMar>
      </w:tblPr>
      <w:tblGrid>
        <w:gridCol w:w="124"/>
        <w:gridCol w:w="3311"/>
        <w:gridCol w:w="109"/>
        <w:gridCol w:w="109"/>
        <w:gridCol w:w="3311"/>
        <w:gridCol w:w="154"/>
      </w:tblGrid>
      <w:tr>
        <w:trPr/>
        <w:tc>
          <w:tcPr>
            <w:tcW w:w="124" w:type="dxa"/>
            <w:tcBorders/>
            <w:vAlign w:val="center"/>
          </w:tcPr>
          <w:p>
            <w:pPr>
              <w:pStyle w:val="TableContents"/>
              <w:bidi w:val="0"/>
              <w:spacing w:before="0" w:after="283"/>
              <w:jc w:val="left"/>
              <w:rPr/>
            </w:pPr>
            <w:r>
              <w:rPr/>
              <w:t>​</w:t>
            </w:r>
          </w:p>
        </w:tc>
        <w:tc>
          <w:tcPr>
            <w:tcW w:w="3311" w:type="dxa"/>
            <w:tcBorders/>
            <w:vAlign w:val="center"/>
          </w:tcPr>
          <w:p>
            <w:pPr>
              <w:pStyle w:val="TableContents"/>
              <w:bidi w:val="0"/>
              <w:spacing w:before="0" w:after="0"/>
              <w:jc w:val="center"/>
              <w:rPr/>
            </w:pPr>
            <w:r>
              <w:rPr/>
              <w:drawing>
                <wp:inline distT="0" distB="0" distL="0" distR="0">
                  <wp:extent cx="2009775" cy="1323975"/>
                  <wp:effectExtent l="0" t="0" r="0" b="0"/>
                  <wp:docPr id="330"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184" descr=""/>
                          <pic:cNvPicPr>
                            <a:picLocks noChangeAspect="1" noChangeArrowheads="1"/>
                          </pic:cNvPicPr>
                        </pic:nvPicPr>
                        <pic:blipFill>
                          <a:blip r:embed="rId194"/>
                          <a:stretch>
                            <a:fillRect/>
                          </a:stretch>
                        </pic:blipFill>
                        <pic:spPr bwMode="auto">
                          <a:xfrm>
                            <a:off x="0" y="0"/>
                            <a:ext cx="2009775" cy="13239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311" w:type="dxa"/>
            <w:tcBorders/>
            <w:vAlign w:val="center"/>
          </w:tcPr>
          <w:p>
            <w:pPr>
              <w:pStyle w:val="TableContents"/>
              <w:bidi w:val="0"/>
              <w:spacing w:before="0" w:after="0"/>
              <w:jc w:val="center"/>
              <w:rPr/>
            </w:pPr>
            <w:r>
              <w:rPr/>
              <w:drawing>
                <wp:inline distT="0" distB="0" distL="0" distR="0">
                  <wp:extent cx="2009775" cy="1323975"/>
                  <wp:effectExtent l="0" t="0" r="0" b="0"/>
                  <wp:docPr id="331"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185" descr=""/>
                          <pic:cNvPicPr>
                            <a:picLocks noChangeAspect="1" noChangeArrowheads="1"/>
                          </pic:cNvPicPr>
                        </pic:nvPicPr>
                        <pic:blipFill>
                          <a:blip r:embed="rId195"/>
                          <a:stretch>
                            <a:fillRect/>
                          </a:stretch>
                        </pic:blipFill>
                        <pic:spPr bwMode="auto">
                          <a:xfrm>
                            <a:off x="0" y="0"/>
                            <a:ext cx="2009775" cy="13239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43</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2112"/>
        <w:gridCol w:w="109"/>
        <w:gridCol w:w="109"/>
        <w:gridCol w:w="3109"/>
        <w:gridCol w:w="109"/>
        <w:gridCol w:w="109"/>
        <w:gridCol w:w="3336"/>
        <w:gridCol w:w="155"/>
      </w:tblGrid>
      <w:tr>
        <w:trPr/>
        <w:tc>
          <w:tcPr>
            <w:tcW w:w="124" w:type="dxa"/>
            <w:tcBorders/>
            <w:shd w:fill="000000" w:val="clear"/>
            <w:vAlign w:val="center"/>
          </w:tcPr>
          <w:p>
            <w:pPr>
              <w:pStyle w:val="TableContents"/>
              <w:bidi w:val="0"/>
              <w:spacing w:before="0" w:after="283"/>
              <w:jc w:val="left"/>
              <w:rPr/>
            </w:pPr>
            <w:r>
              <w:rPr/>
              <w:t>​</w:t>
            </w:r>
          </w:p>
        </w:tc>
        <w:tc>
          <w:tcPr>
            <w:tcW w:w="2112" w:type="dxa"/>
            <w:tcBorders/>
            <w:shd w:fill="000000" w:val="clear"/>
            <w:vAlign w:val="center"/>
          </w:tcPr>
          <w:p>
            <w:pPr>
              <w:pStyle w:val="TableContents"/>
              <w:bidi w:val="0"/>
              <w:spacing w:before="0" w:after="0"/>
              <w:jc w:val="left"/>
              <w:rPr/>
            </w:pPr>
            <w:r>
              <w:rPr/>
              <w:t xml:space="preserve">Element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3109" w:type="dxa"/>
            <w:tcBorders/>
            <w:shd w:fill="000000" w:val="clear"/>
            <w:vAlign w:val="center"/>
          </w:tcPr>
          <w:p>
            <w:pPr>
              <w:pStyle w:val="TableContents"/>
              <w:bidi w:val="0"/>
              <w:spacing w:before="0" w:after="0"/>
              <w:jc w:val="left"/>
              <w:rPr/>
            </w:pPr>
            <w:r>
              <w:rPr/>
              <w:t xml:space="preserve">Description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3336" w:type="dxa"/>
            <w:tcBorders/>
            <w:shd w:fill="000000" w:val="clear"/>
            <w:vAlign w:val="center"/>
          </w:tcPr>
          <w:p>
            <w:pPr>
              <w:pStyle w:val="TableContents"/>
              <w:bidi w:val="0"/>
              <w:spacing w:before="0" w:after="0"/>
              <w:jc w:val="left"/>
              <w:rPr/>
            </w:pPr>
            <w:r>
              <w:rPr/>
              <w:t xml:space="preserve">Additional Detail </w:t>
            </w:r>
          </w:p>
        </w:tc>
        <w:tc>
          <w:tcPr>
            <w:tcW w:w="155"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112" w:type="dxa"/>
            <w:tcBorders>
              <w:bottom w:val="single" w:sz="2" w:space="0" w:color="666666"/>
            </w:tcBorders>
            <w:tcMar>
              <w:bottom w:w="147" w:type="dxa"/>
            </w:tcMar>
            <w:vAlign w:val="center"/>
          </w:tcPr>
          <w:p>
            <w:pPr>
              <w:pStyle w:val="TableContents"/>
              <w:bidi w:val="0"/>
              <w:spacing w:before="0" w:after="0"/>
              <w:jc w:val="left"/>
              <w:rPr>
                <w:b/>
                <w:spacing w:val="0"/>
              </w:rPr>
            </w:pPr>
            <w:r>
              <w:rPr>
                <w:b/>
                <w:spacing w:val="0"/>
              </w:rPr>
              <w:t xml:space="preserve">Base Salary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3109" w:type="dxa"/>
            <w:tcBorders>
              <w:bottom w:val="single" w:sz="2" w:space="0" w:color="666666"/>
            </w:tcBorders>
            <w:tcMar>
              <w:bottom w:w="147" w:type="dxa"/>
            </w:tcMar>
            <w:vAlign w:val="center"/>
          </w:tcPr>
          <w:p>
            <w:pPr>
              <w:pStyle w:val="TableContents"/>
              <w:bidi w:val="0"/>
              <w:spacing w:before="0" w:after="0"/>
              <w:jc w:val="left"/>
              <w:rPr/>
            </w:pPr>
            <w:r>
              <w:rPr>
                <w:spacing w:val="-1"/>
              </w:rPr>
              <w:t>Fixed cash compensation.</w:t>
            </w:r>
            <w:r>
              <w:rPr/>
              <w:t xml:space="preserve"> </w:t>
            </w:r>
          </w:p>
          <w:p>
            <w:pPr>
              <w:pStyle w:val="TableContents"/>
              <w:bidi w:val="0"/>
              <w:spacing w:before="120" w:after="283"/>
              <w:jc w:val="left"/>
              <w:rPr>
                <w:spacing w:val="-1"/>
              </w:rPr>
            </w:pPr>
            <w:r>
              <w:rPr>
                <w:spacing w:val="-1"/>
              </w:rPr>
              <w:t xml:space="preserve">Determined based on each executive officer’s role, individual skills, experience, performance, and external market value.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3336" w:type="dxa"/>
            <w:tcBorders>
              <w:bottom w:val="single" w:sz="2" w:space="0" w:color="666666"/>
            </w:tcBorders>
            <w:tcMar>
              <w:bottom w:w="147" w:type="dxa"/>
            </w:tcMar>
            <w:vAlign w:val="center"/>
          </w:tcPr>
          <w:p>
            <w:pPr>
              <w:pStyle w:val="TableContents"/>
              <w:bidi w:val="0"/>
              <w:spacing w:before="0" w:after="283"/>
              <w:jc w:val="left"/>
              <w:rPr>
                <w:spacing w:val="-1"/>
              </w:rPr>
            </w:pPr>
            <w:r>
              <w:rPr>
                <w:spacing w:val="-1"/>
              </w:rPr>
              <w:t xml:space="preserve">Base salaries are intended to provide stable compensation to executive officers, enabling Coherent to attract and retain skilled executive talent and maintain a stable leadership team.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112" w:type="dxa"/>
            <w:tcBorders>
              <w:bottom w:val="single" w:sz="2" w:space="0" w:color="666666"/>
            </w:tcBorders>
            <w:tcMar>
              <w:bottom w:w="147" w:type="dxa"/>
            </w:tcMar>
            <w:vAlign w:val="center"/>
          </w:tcPr>
          <w:p>
            <w:pPr>
              <w:pStyle w:val="TableContents"/>
              <w:bidi w:val="0"/>
              <w:spacing w:before="0" w:after="0"/>
              <w:jc w:val="left"/>
              <w:rPr>
                <w:b/>
                <w:spacing w:val="0"/>
              </w:rPr>
            </w:pPr>
            <w:r>
              <w:rPr>
                <w:b/>
                <w:spacing w:val="0"/>
              </w:rPr>
              <w:t xml:space="preserve">Short-Term Incentives: Annual Cash Incentive </w:t>
              <w:br/>
              <w:t xml:space="preserve">Opportunities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3109" w:type="dxa"/>
            <w:tcBorders>
              <w:bottom w:val="single" w:sz="2" w:space="0" w:color="666666"/>
            </w:tcBorders>
            <w:tcMar>
              <w:bottom w:w="147" w:type="dxa"/>
            </w:tcMar>
            <w:vAlign w:val="center"/>
          </w:tcPr>
          <w:p>
            <w:pPr>
              <w:pStyle w:val="TableContents"/>
              <w:bidi w:val="0"/>
              <w:spacing w:before="0" w:after="0"/>
              <w:jc w:val="left"/>
              <w:rPr/>
            </w:pPr>
            <w:r>
              <w:rPr>
                <w:spacing w:val="-1"/>
              </w:rPr>
              <w:t>Employee Incentive Program (“EIP”) is a variable cash compensation program based on the level of achievement of pre-determined annual corporate goals.</w:t>
            </w:r>
            <w:r>
              <w:rPr/>
              <w:t xml:space="preserve"> </w:t>
            </w:r>
          </w:p>
          <w:p>
            <w:pPr>
              <w:pStyle w:val="TableContents"/>
              <w:bidi w:val="0"/>
              <w:spacing w:before="120" w:after="283"/>
              <w:jc w:val="left"/>
              <w:rPr/>
            </w:pPr>
            <w:r>
              <w:rPr>
                <w:spacing w:val="-1"/>
              </w:rPr>
              <w:t>Cash incentive payouts range from zero for below-threshold performance to a maximum cap of 200% of each NEO’s target opportunity.</w:t>
            </w:r>
            <w:r>
              <w:rPr/>
              <w:t xml:space="preserve"> </w:t>
            </w:r>
          </w:p>
          <w:p>
            <w:pPr>
              <w:pStyle w:val="TableContents"/>
              <w:bidi w:val="0"/>
              <w:spacing w:before="120" w:after="283"/>
              <w:jc w:val="left"/>
              <w:rPr>
                <w:spacing w:val="-1"/>
              </w:rPr>
            </w:pPr>
            <w:r>
              <w:rPr>
                <w:spacing w:val="-1"/>
              </w:rPr>
              <w:t xml:space="preserve">To earn any payout, performance against the corporate objectives must exceed a threshold performance level.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3336" w:type="dxa"/>
            <w:tcBorders>
              <w:bottom w:val="single" w:sz="2" w:space="0" w:color="666666"/>
            </w:tcBorders>
            <w:tcMar>
              <w:bottom w:w="147" w:type="dxa"/>
            </w:tcMar>
            <w:vAlign w:val="center"/>
          </w:tcPr>
          <w:p>
            <w:pPr>
              <w:pStyle w:val="TableContents"/>
              <w:bidi w:val="0"/>
              <w:spacing w:before="0" w:after="283"/>
              <w:jc w:val="left"/>
              <w:rPr>
                <w:spacing w:val="-1"/>
              </w:rPr>
            </w:pPr>
            <w:r>
              <w:rPr>
                <w:spacing w:val="-1"/>
              </w:rPr>
              <w:t xml:space="preserve">Annual cash incentive opportunities are designed to ensure that executive officers are motivated to achieve Coherent’s annual goals; with payout levels determined based on actual financial results.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112" w:type="dxa"/>
            <w:tcBorders>
              <w:bottom w:val="single" w:sz="2" w:space="0" w:color="666666"/>
            </w:tcBorders>
            <w:tcMar>
              <w:bottom w:w="147" w:type="dxa"/>
            </w:tcMar>
            <w:vAlign w:val="center"/>
          </w:tcPr>
          <w:p>
            <w:pPr>
              <w:pStyle w:val="TableContents"/>
              <w:bidi w:val="0"/>
              <w:spacing w:before="0" w:after="0"/>
              <w:jc w:val="left"/>
              <w:rPr>
                <w:b/>
              </w:rPr>
            </w:pPr>
            <w:r>
              <w:rPr>
                <w:b/>
                <w:spacing w:val="0"/>
              </w:rPr>
              <w:t>Long-Term Incentives: Annual Equity-Based Compensation</w:t>
            </w:r>
            <w:r>
              <w:rPr>
                <w:b/>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3109" w:type="dxa"/>
            <w:tcBorders>
              <w:bottom w:val="single" w:sz="2" w:space="0" w:color="666666"/>
            </w:tcBorders>
            <w:tcMar>
              <w:bottom w:w="147" w:type="dxa"/>
            </w:tcMar>
            <w:vAlign w:val="center"/>
          </w:tcPr>
          <w:p>
            <w:pPr>
              <w:pStyle w:val="TableContents"/>
              <w:bidi w:val="0"/>
              <w:spacing w:before="0" w:after="0"/>
              <w:jc w:val="left"/>
              <w:rPr/>
            </w:pPr>
            <w:r>
              <w:rPr>
                <w:spacing w:val="-1"/>
              </w:rPr>
              <w:t>Variable equity-based compensation.</w:t>
            </w:r>
            <w:r>
              <w:rPr/>
              <w:t xml:space="preserve"> </w:t>
            </w:r>
          </w:p>
          <w:p>
            <w:pPr>
              <w:pStyle w:val="TableContents"/>
              <w:bidi w:val="0"/>
              <w:spacing w:before="120" w:after="283"/>
              <w:jc w:val="left"/>
              <w:rPr/>
            </w:pPr>
            <w:r>
              <w:rPr>
                <w:b/>
                <w:spacing w:val="0"/>
              </w:rPr>
              <w:t>PSUs:</w:t>
            </w:r>
            <w:r>
              <w:rPr>
                <w:spacing w:val="-1"/>
              </w:rPr>
              <w:t xml:space="preserve"> Performance share units with three-year cliff vesting. For fiscal year 2026 grants, the vesting is tied to relative TSR performance.</w:t>
            </w:r>
            <w:r>
              <w:rPr/>
              <w:t xml:space="preserve"> </w:t>
            </w:r>
          </w:p>
          <w:p>
            <w:pPr>
              <w:pStyle w:val="TableContents"/>
              <w:bidi w:val="0"/>
              <w:spacing w:before="120" w:after="283"/>
              <w:jc w:val="left"/>
              <w:rPr/>
            </w:pPr>
            <w:r>
              <w:rPr>
                <w:b/>
                <w:spacing w:val="0"/>
              </w:rPr>
              <w:t>RSUs:</w:t>
            </w:r>
            <w:r>
              <w:rPr>
                <w:spacing w:val="-1"/>
              </w:rPr>
              <w:t xml:space="preserve"> Restricted stock units with three-year ratable annual vesting tied to continued service through each annual vesting date.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3336" w:type="dxa"/>
            <w:tcBorders>
              <w:bottom w:val="single" w:sz="2" w:space="0" w:color="666666"/>
            </w:tcBorders>
            <w:tcMar>
              <w:bottom w:w="147" w:type="dxa"/>
            </w:tcMar>
            <w:vAlign w:val="center"/>
          </w:tcPr>
          <w:p>
            <w:pPr>
              <w:pStyle w:val="TableContents"/>
              <w:bidi w:val="0"/>
              <w:spacing w:before="0" w:after="283"/>
              <w:jc w:val="left"/>
              <w:rPr/>
            </w:pPr>
            <w:r>
              <w:rPr>
                <w:spacing w:val="-1"/>
              </w:rPr>
              <w:t>Designed to motivate and reward executive officers to achieve multi-year strategic goals and to deliver sustained long-term value to shareholders, as well as to attract and retain executive officers.</w:t>
            </w:r>
            <w:r>
              <w:rPr/>
              <w:t xml:space="preserve">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lineRule="atLeast" w:line="640" w:before="439" w:after="283"/>
        <w:ind w:left="893" w:right="40" w:hanging="0"/>
        <w:jc w:val="left"/>
        <w:rPr>
          <w:rFonts w:ascii="Tahoma;Geneva;sans-serif" w:hAnsi="Tahoma;Geneva;sans-serif"/>
          <w:b/>
          <w:i w:val="false"/>
          <w:caps w:val="false"/>
          <w:smallCaps w:val="false"/>
          <w:color w:val="0068C7"/>
          <w:sz w:val="60"/>
          <w:shd w:fill="FFFFFF" w:val="clear"/>
        </w:rPr>
      </w:pPr>
      <w:r>
        <w:rPr>
          <w:rFonts w:ascii="Tahoma;Geneva;sans-serif" w:hAnsi="Tahoma;Geneva;sans-serif"/>
          <w:b/>
          <w:i w:val="false"/>
          <w:caps w:val="false"/>
          <w:smallCaps w:val="false"/>
          <w:color w:val="0068C7"/>
          <w:sz w:val="60"/>
          <w:shd w:fill="FFFFFF" w:val="clear"/>
        </w:rPr>
        <w:t>BASE SALARY</w:t>
      </w:r>
      <w:r>
        <w:rPr>
          <w:rFonts w:ascii="Tahoma;Geneva;sans-serif" w:hAnsi="Tahoma;Geneva;sans-serif"/>
          <w:b/>
          <w:i w:val="false"/>
          <w:caps w:val="false"/>
          <w:smallCaps w:val="false"/>
          <w:color w:val="000000"/>
          <w:spacing w:val="12"/>
          <w:sz w:val="60"/>
          <w:shd w:fill="FFFFFF" w:val="clear"/>
        </w:rPr>
        <w:t xml:space="preserve"> </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Base salaries provide fixed compensation to Coherent’s executive officers and help to attract and retain the executive talent needed to lead the business and maintain a stable leadership team. Base salaries are individually determined according to each executive officer’s areas of responsibility, role and experience, and vary among executive officers based on a variety of considerations, including skills, experience, achievements, and the competitive market for the position.</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44</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20" w:after="283"/>
        <w:ind w:left="89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From time to time, the Committee considers and approves base salary adjustments for executive officers. The main considerations for a salary adjustment are similar to those used in initially determining base salaries, but may also include change in the competitive market, change of role or responsibilities, recognition for achievements or market trends.</w:t>
      </w:r>
      <w:r>
        <w:rPr>
          <w:rFonts w:ascii="Arial;Helvetica;sans-serif" w:hAnsi="Arial;Helvetica;sans-serif"/>
          <w:b w:val="false"/>
          <w:i w:val="false"/>
          <w:caps w:val="false"/>
          <w:smallCaps w:val="false"/>
          <w:color w:val="000000"/>
          <w:spacing w:val="4"/>
          <w:sz w:val="19"/>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2039"/>
        <w:gridCol w:w="109"/>
        <w:gridCol w:w="109"/>
        <w:gridCol w:w="2703"/>
        <w:gridCol w:w="109"/>
        <w:gridCol w:w="109"/>
        <w:gridCol w:w="2703"/>
        <w:gridCol w:w="109"/>
        <w:gridCol w:w="109"/>
        <w:gridCol w:w="894"/>
        <w:gridCol w:w="155"/>
      </w:tblGrid>
      <w:tr>
        <w:trPr/>
        <w:tc>
          <w:tcPr>
            <w:tcW w:w="124" w:type="dxa"/>
            <w:tcBorders/>
            <w:shd w:fill="000000" w:val="clear"/>
            <w:vAlign w:val="center"/>
          </w:tcPr>
          <w:p>
            <w:pPr>
              <w:pStyle w:val="TableContents"/>
              <w:bidi w:val="0"/>
              <w:spacing w:before="0" w:after="283"/>
              <w:jc w:val="left"/>
              <w:rPr/>
            </w:pPr>
            <w:r>
              <w:rPr/>
              <w:t>​</w:t>
            </w:r>
          </w:p>
        </w:tc>
        <w:tc>
          <w:tcPr>
            <w:tcW w:w="2039" w:type="dxa"/>
            <w:tcBorders/>
            <w:shd w:fill="000000" w:val="clear"/>
            <w:vAlign w:val="center"/>
          </w:tcPr>
          <w:p>
            <w:pPr>
              <w:pStyle w:val="TableContents"/>
              <w:bidi w:val="0"/>
              <w:spacing w:before="0" w:after="0"/>
              <w:jc w:val="left"/>
              <w:rPr/>
            </w:pPr>
            <w:r>
              <w:rPr/>
              <w:t xml:space="preserve">NEO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703" w:type="dxa"/>
            <w:tcBorders/>
            <w:shd w:fill="000000" w:val="clear"/>
            <w:vAlign w:val="center"/>
          </w:tcPr>
          <w:p>
            <w:pPr>
              <w:pStyle w:val="TableContents"/>
              <w:bidi w:val="0"/>
              <w:spacing w:before="0" w:after="0"/>
              <w:jc w:val="center"/>
              <w:rPr/>
            </w:pPr>
            <w:r>
              <w:rPr/>
              <w:t>Fiscal Year 2025 Annualized</w:t>
              <w:br/>
              <w:t xml:space="preserve">Base Salary ($)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703" w:type="dxa"/>
            <w:tcBorders/>
            <w:shd w:fill="000000" w:val="clear"/>
            <w:vAlign w:val="center"/>
          </w:tcPr>
          <w:p>
            <w:pPr>
              <w:pStyle w:val="TableContents"/>
              <w:bidi w:val="0"/>
              <w:spacing w:before="0" w:after="0"/>
              <w:jc w:val="center"/>
              <w:rPr/>
            </w:pPr>
            <w:r>
              <w:rPr/>
              <w:t>Fiscal Year 2026 Annualized</w:t>
              <w:br/>
              <w:t xml:space="preserve">Base Salary ($)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94" w:type="dxa"/>
            <w:tcBorders/>
            <w:shd w:fill="000000" w:val="clear"/>
            <w:vAlign w:val="center"/>
          </w:tcPr>
          <w:p>
            <w:pPr>
              <w:pStyle w:val="TableContents"/>
              <w:bidi w:val="0"/>
              <w:spacing w:before="0" w:after="0"/>
              <w:jc w:val="center"/>
              <w:rPr/>
            </w:pPr>
            <w:r>
              <w:rPr/>
              <w:t>%</w:t>
              <w:br/>
              <w:t xml:space="preserve">Change </w:t>
            </w:r>
          </w:p>
        </w:tc>
        <w:tc>
          <w:tcPr>
            <w:tcW w:w="155"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039" w:type="dxa"/>
            <w:tcBorders>
              <w:bottom w:val="single" w:sz="2" w:space="0" w:color="666666"/>
            </w:tcBorders>
            <w:tcMar>
              <w:bottom w:w="68" w:type="dxa"/>
            </w:tcMar>
            <w:vAlign w:val="center"/>
          </w:tcPr>
          <w:p>
            <w:pPr>
              <w:pStyle w:val="TableContents"/>
              <w:bidi w:val="0"/>
              <w:spacing w:before="0" w:after="283"/>
              <w:jc w:val="left"/>
              <w:rPr>
                <w:spacing w:val="-1"/>
              </w:rPr>
            </w:pPr>
            <w:r>
              <w:rPr>
                <w:spacing w:val="-1"/>
              </w:rPr>
              <w:t xml:space="preserve">James R. Anderson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703" w:type="dxa"/>
            <w:tcBorders>
              <w:bottom w:val="single" w:sz="2" w:space="0" w:color="666666"/>
            </w:tcBorders>
            <w:tcMar>
              <w:bottom w:w="68" w:type="dxa"/>
            </w:tcMar>
            <w:vAlign w:val="center"/>
          </w:tcPr>
          <w:p>
            <w:pPr>
              <w:pStyle w:val="TableContents"/>
              <w:bidi w:val="0"/>
              <w:spacing w:before="0" w:after="0"/>
              <w:jc w:val="center"/>
              <w:rPr>
                <w:spacing w:val="-1"/>
              </w:rPr>
            </w:pPr>
            <w:r>
              <w:rPr>
                <w:spacing w:val="-1"/>
              </w:rPr>
              <w:t xml:space="preserve">1,060,000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703" w:type="dxa"/>
            <w:tcBorders>
              <w:bottom w:val="single" w:sz="2" w:space="0" w:color="666666"/>
            </w:tcBorders>
            <w:tcMar>
              <w:bottom w:w="68" w:type="dxa"/>
            </w:tcMar>
            <w:vAlign w:val="center"/>
          </w:tcPr>
          <w:p>
            <w:pPr>
              <w:pStyle w:val="TableContents"/>
              <w:bidi w:val="0"/>
              <w:spacing w:before="0" w:after="0"/>
              <w:jc w:val="center"/>
              <w:rPr>
                <w:spacing w:val="-1"/>
              </w:rPr>
            </w:pPr>
            <w:r>
              <w:rPr>
                <w:spacing w:val="-1"/>
              </w:rPr>
              <w:t xml:space="preserve">1,102,400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94" w:type="dxa"/>
            <w:tcBorders>
              <w:bottom w:val="single" w:sz="2" w:space="0" w:color="666666"/>
            </w:tcBorders>
            <w:tcMar>
              <w:bottom w:w="68" w:type="dxa"/>
            </w:tcMar>
            <w:vAlign w:val="center"/>
          </w:tcPr>
          <w:p>
            <w:pPr>
              <w:pStyle w:val="TableContents"/>
              <w:bidi w:val="0"/>
              <w:spacing w:before="0" w:after="0"/>
              <w:jc w:val="center"/>
              <w:rPr>
                <w:spacing w:val="-1"/>
              </w:rPr>
            </w:pPr>
            <w:r>
              <w:rPr>
                <w:spacing w:val="-1"/>
              </w:rPr>
              <w:t xml:space="preserve">3.8%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039" w:type="dxa"/>
            <w:tcBorders>
              <w:bottom w:val="single" w:sz="2" w:space="0" w:color="666666"/>
            </w:tcBorders>
            <w:tcMar>
              <w:bottom w:w="68" w:type="dxa"/>
            </w:tcMar>
            <w:vAlign w:val="center"/>
          </w:tcPr>
          <w:p>
            <w:pPr>
              <w:pStyle w:val="TableContents"/>
              <w:bidi w:val="0"/>
              <w:spacing w:before="0" w:after="283"/>
              <w:jc w:val="left"/>
              <w:rPr>
                <w:spacing w:val="-1"/>
              </w:rPr>
            </w:pPr>
            <w:r>
              <w:rPr>
                <w:spacing w:val="-1"/>
              </w:rPr>
              <w:t xml:space="preserve">Sherri Luther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703" w:type="dxa"/>
            <w:tcBorders>
              <w:bottom w:val="single" w:sz="2" w:space="0" w:color="666666"/>
            </w:tcBorders>
            <w:tcMar>
              <w:bottom w:w="68" w:type="dxa"/>
            </w:tcMar>
            <w:vAlign w:val="center"/>
          </w:tcPr>
          <w:p>
            <w:pPr>
              <w:pStyle w:val="TableContents"/>
              <w:bidi w:val="0"/>
              <w:spacing w:before="0" w:after="0"/>
              <w:jc w:val="center"/>
              <w:rPr>
                <w:spacing w:val="-1"/>
              </w:rPr>
            </w:pPr>
            <w:r>
              <w:rPr>
                <w:spacing w:val="-1"/>
              </w:rPr>
              <w:t xml:space="preserve">625,000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703" w:type="dxa"/>
            <w:tcBorders>
              <w:bottom w:val="single" w:sz="2" w:space="0" w:color="666666"/>
            </w:tcBorders>
            <w:tcMar>
              <w:bottom w:w="68" w:type="dxa"/>
            </w:tcMar>
            <w:vAlign w:val="center"/>
          </w:tcPr>
          <w:p>
            <w:pPr>
              <w:pStyle w:val="TableContents"/>
              <w:bidi w:val="0"/>
              <w:spacing w:before="0" w:after="0"/>
              <w:jc w:val="center"/>
              <w:rPr>
                <w:spacing w:val="-1"/>
              </w:rPr>
            </w:pPr>
            <w:r>
              <w:rPr>
                <w:spacing w:val="-1"/>
              </w:rPr>
              <w:t xml:space="preserve">656,250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94" w:type="dxa"/>
            <w:tcBorders>
              <w:bottom w:val="single" w:sz="2" w:space="0" w:color="666666"/>
            </w:tcBorders>
            <w:tcMar>
              <w:bottom w:w="68" w:type="dxa"/>
            </w:tcMar>
            <w:vAlign w:val="center"/>
          </w:tcPr>
          <w:p>
            <w:pPr>
              <w:pStyle w:val="TableContents"/>
              <w:bidi w:val="0"/>
              <w:spacing w:before="0" w:after="0"/>
              <w:jc w:val="center"/>
              <w:rPr>
                <w:spacing w:val="-1"/>
              </w:rPr>
            </w:pPr>
            <w:r>
              <w:rPr>
                <w:spacing w:val="-1"/>
              </w:rPr>
              <w:t xml:space="preserve">4.8%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039" w:type="dxa"/>
            <w:tcBorders>
              <w:bottom w:val="single" w:sz="2" w:space="0" w:color="666666"/>
            </w:tcBorders>
            <w:tcMar>
              <w:bottom w:w="68" w:type="dxa"/>
            </w:tcMar>
            <w:vAlign w:val="center"/>
          </w:tcPr>
          <w:p>
            <w:pPr>
              <w:pStyle w:val="TableContents"/>
              <w:bidi w:val="0"/>
              <w:spacing w:before="0" w:after="283"/>
              <w:jc w:val="left"/>
              <w:rPr>
                <w:spacing w:val="-1"/>
              </w:rPr>
            </w:pPr>
            <w:r>
              <w:rPr>
                <w:spacing w:val="-1"/>
              </w:rPr>
              <w:t xml:space="preserve">Rob Beard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703" w:type="dxa"/>
            <w:tcBorders>
              <w:bottom w:val="single" w:sz="2" w:space="0" w:color="666666"/>
            </w:tcBorders>
            <w:tcMar>
              <w:bottom w:w="68" w:type="dxa"/>
            </w:tcMar>
            <w:vAlign w:val="center"/>
          </w:tcPr>
          <w:p>
            <w:pPr>
              <w:pStyle w:val="TableContents"/>
              <w:bidi w:val="0"/>
              <w:spacing w:before="0" w:after="0"/>
              <w:jc w:val="center"/>
              <w:rPr>
                <w:spacing w:val="-1"/>
              </w:rPr>
            </w:pPr>
            <w:r>
              <w:rPr>
                <w:spacing w:val="-1"/>
              </w:rPr>
              <w:t xml:space="preserve">660,000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703" w:type="dxa"/>
            <w:tcBorders>
              <w:bottom w:val="single" w:sz="2" w:space="0" w:color="666666"/>
            </w:tcBorders>
            <w:tcMar>
              <w:bottom w:w="68" w:type="dxa"/>
            </w:tcMar>
            <w:vAlign w:val="center"/>
          </w:tcPr>
          <w:p>
            <w:pPr>
              <w:pStyle w:val="TableContents"/>
              <w:bidi w:val="0"/>
              <w:spacing w:before="0" w:after="0"/>
              <w:jc w:val="center"/>
              <w:rPr>
                <w:spacing w:val="-1"/>
              </w:rPr>
            </w:pPr>
            <w:r>
              <w:rPr>
                <w:spacing w:val="-1"/>
              </w:rPr>
              <w:t xml:space="preserve">686,400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94" w:type="dxa"/>
            <w:tcBorders>
              <w:bottom w:val="single" w:sz="2" w:space="0" w:color="666666"/>
            </w:tcBorders>
            <w:tcMar>
              <w:bottom w:w="68" w:type="dxa"/>
            </w:tcMar>
            <w:vAlign w:val="center"/>
          </w:tcPr>
          <w:p>
            <w:pPr>
              <w:pStyle w:val="TableContents"/>
              <w:bidi w:val="0"/>
              <w:spacing w:before="0" w:after="0"/>
              <w:jc w:val="center"/>
              <w:rPr>
                <w:spacing w:val="-1"/>
              </w:rPr>
            </w:pPr>
            <w:r>
              <w:rPr>
                <w:spacing w:val="-1"/>
              </w:rPr>
              <w:t xml:space="preserve">3.8%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039" w:type="dxa"/>
            <w:tcBorders>
              <w:bottom w:val="single" w:sz="2" w:space="0" w:color="666666"/>
            </w:tcBorders>
            <w:tcMar>
              <w:bottom w:w="68" w:type="dxa"/>
            </w:tcMar>
            <w:vAlign w:val="center"/>
          </w:tcPr>
          <w:p>
            <w:pPr>
              <w:pStyle w:val="TableContents"/>
              <w:bidi w:val="0"/>
              <w:spacing w:before="0" w:after="283"/>
              <w:jc w:val="left"/>
              <w:rPr>
                <w:spacing w:val="-1"/>
              </w:rPr>
            </w:pPr>
            <w:r>
              <w:rPr>
                <w:spacing w:val="-1"/>
              </w:rPr>
              <w:t xml:space="preserve">Julie Eng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703" w:type="dxa"/>
            <w:tcBorders>
              <w:bottom w:val="single" w:sz="2" w:space="0" w:color="666666"/>
            </w:tcBorders>
            <w:tcMar>
              <w:bottom w:w="68" w:type="dxa"/>
            </w:tcMar>
            <w:vAlign w:val="center"/>
          </w:tcPr>
          <w:p>
            <w:pPr>
              <w:pStyle w:val="TableContents"/>
              <w:bidi w:val="0"/>
              <w:spacing w:before="0" w:after="0"/>
              <w:jc w:val="center"/>
              <w:rPr>
                <w:spacing w:val="-1"/>
              </w:rPr>
            </w:pPr>
            <w:r>
              <w:rPr>
                <w:spacing w:val="-1"/>
              </w:rPr>
              <w:t xml:space="preserve">501,540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703" w:type="dxa"/>
            <w:tcBorders>
              <w:bottom w:val="single" w:sz="2" w:space="0" w:color="666666"/>
            </w:tcBorders>
            <w:tcMar>
              <w:bottom w:w="68" w:type="dxa"/>
            </w:tcMar>
            <w:vAlign w:val="center"/>
          </w:tcPr>
          <w:p>
            <w:pPr>
              <w:pStyle w:val="TableContents"/>
              <w:bidi w:val="0"/>
              <w:spacing w:before="0" w:after="0"/>
              <w:jc w:val="center"/>
              <w:rPr>
                <w:spacing w:val="-1"/>
              </w:rPr>
            </w:pPr>
            <w:r>
              <w:rPr>
                <w:spacing w:val="-1"/>
              </w:rPr>
              <w:t xml:space="preserve">551,694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94" w:type="dxa"/>
            <w:tcBorders>
              <w:bottom w:val="single" w:sz="2" w:space="0" w:color="666666"/>
            </w:tcBorders>
            <w:tcMar>
              <w:bottom w:w="68" w:type="dxa"/>
            </w:tcMar>
            <w:vAlign w:val="center"/>
          </w:tcPr>
          <w:p>
            <w:pPr>
              <w:pStyle w:val="TableContents"/>
              <w:bidi w:val="0"/>
              <w:spacing w:before="0" w:after="0"/>
              <w:jc w:val="center"/>
              <w:rPr>
                <w:spacing w:val="-1"/>
              </w:rPr>
            </w:pPr>
            <w:r>
              <w:rPr>
                <w:spacing w:val="-1"/>
              </w:rPr>
              <w:t xml:space="preserve">9.1%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039" w:type="dxa"/>
            <w:tcBorders>
              <w:bottom w:val="single" w:sz="2" w:space="0" w:color="666666"/>
            </w:tcBorders>
            <w:tcMar>
              <w:bottom w:w="68" w:type="dxa"/>
            </w:tcMar>
            <w:vAlign w:val="center"/>
          </w:tcPr>
          <w:p>
            <w:pPr>
              <w:pStyle w:val="TableContents"/>
              <w:bidi w:val="0"/>
              <w:spacing w:before="0" w:after="283"/>
              <w:jc w:val="left"/>
              <w:rPr>
                <w:spacing w:val="-1"/>
              </w:rPr>
            </w:pPr>
            <w:r>
              <w:rPr>
                <w:spacing w:val="-1"/>
              </w:rPr>
              <w:t xml:space="preserve">Jeffrey Place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703"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703" w:type="dxa"/>
            <w:tcBorders>
              <w:bottom w:val="single" w:sz="2" w:space="0" w:color="666666"/>
            </w:tcBorders>
            <w:tcMar>
              <w:bottom w:w="68" w:type="dxa"/>
            </w:tcMar>
            <w:vAlign w:val="center"/>
          </w:tcPr>
          <w:p>
            <w:pPr>
              <w:pStyle w:val="TableContents"/>
              <w:bidi w:val="0"/>
              <w:spacing w:before="0" w:after="0"/>
              <w:jc w:val="center"/>
              <w:rPr>
                <w:spacing w:val="-1"/>
              </w:rPr>
            </w:pPr>
            <w:r>
              <w:rPr>
                <w:spacing w:val="-1"/>
              </w:rPr>
              <w:t xml:space="preserve">550,000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94" w:type="dxa"/>
            <w:tcBorders>
              <w:bottom w:val="single" w:sz="2" w:space="0" w:color="666666"/>
            </w:tcBorders>
            <w:tcMar>
              <w:bottom w:w="68" w:type="dxa"/>
            </w:tcMar>
            <w:vAlign w:val="center"/>
          </w:tcPr>
          <w:p>
            <w:pPr>
              <w:pStyle w:val="TableContents"/>
              <w:bidi w:val="0"/>
              <w:spacing w:before="0" w:after="0"/>
              <w:jc w:val="center"/>
              <w:rPr>
                <w:spacing w:val="-1"/>
              </w:rPr>
            </w:pPr>
            <w:r>
              <w:rPr>
                <w:spacing w:val="-1"/>
              </w:rPr>
              <w:t xml:space="preserve">NA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039" w:type="dxa"/>
            <w:tcBorders>
              <w:bottom w:val="single" w:sz="2" w:space="0" w:color="666666"/>
            </w:tcBorders>
            <w:tcMar>
              <w:bottom w:w="68" w:type="dxa"/>
            </w:tcMar>
            <w:vAlign w:val="center"/>
          </w:tcPr>
          <w:p>
            <w:pPr>
              <w:pStyle w:val="TableContents"/>
              <w:bidi w:val="0"/>
              <w:spacing w:before="0" w:after="283"/>
              <w:jc w:val="left"/>
              <w:rPr>
                <w:spacing w:val="-1"/>
              </w:rPr>
            </w:pPr>
            <w:r>
              <w:rPr>
                <w:spacing w:val="-1"/>
              </w:rPr>
              <w:t xml:space="preserve">Giovanni Barbarossa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703" w:type="dxa"/>
            <w:tcBorders>
              <w:bottom w:val="single" w:sz="2" w:space="0" w:color="666666"/>
            </w:tcBorders>
            <w:tcMar>
              <w:bottom w:w="68" w:type="dxa"/>
            </w:tcMar>
            <w:vAlign w:val="center"/>
          </w:tcPr>
          <w:p>
            <w:pPr>
              <w:pStyle w:val="TableContents"/>
              <w:bidi w:val="0"/>
              <w:spacing w:before="0" w:after="0"/>
              <w:jc w:val="center"/>
              <w:rPr>
                <w:spacing w:val="-1"/>
              </w:rPr>
            </w:pPr>
            <w:r>
              <w:rPr>
                <w:spacing w:val="-1"/>
              </w:rPr>
              <w:t xml:space="preserve">660,400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703" w:type="dxa"/>
            <w:tcBorders>
              <w:bottom w:val="single" w:sz="2" w:space="0" w:color="666666"/>
            </w:tcBorders>
            <w:tcMar>
              <w:bottom w:w="68" w:type="dxa"/>
            </w:tcMar>
            <w:vAlign w:val="center"/>
          </w:tcPr>
          <w:p>
            <w:pPr>
              <w:pStyle w:val="TableContents"/>
              <w:bidi w:val="0"/>
              <w:spacing w:before="0" w:after="0"/>
              <w:jc w:val="center"/>
              <w:rPr>
                <w:spacing w:val="-1"/>
              </w:rPr>
            </w:pPr>
            <w:r>
              <w:rPr>
                <w:spacing w:val="-1"/>
              </w:rPr>
              <w:t xml:space="preserve">680,212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94" w:type="dxa"/>
            <w:tcBorders>
              <w:bottom w:val="single" w:sz="2" w:space="0" w:color="666666"/>
            </w:tcBorders>
            <w:tcMar>
              <w:bottom w:w="68" w:type="dxa"/>
            </w:tcMar>
            <w:vAlign w:val="center"/>
          </w:tcPr>
          <w:p>
            <w:pPr>
              <w:pStyle w:val="TableContents"/>
              <w:bidi w:val="0"/>
              <w:spacing w:before="0" w:after="0"/>
              <w:jc w:val="center"/>
              <w:rPr/>
            </w:pPr>
            <w:r>
              <w:rPr>
                <w:spacing w:val="-1"/>
              </w:rPr>
              <w:t>2.9%</w:t>
            </w:r>
            <w:r>
              <w:rPr/>
              <w:t xml:space="preserve">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lineRule="atLeast" w:line="440" w:before="664" w:after="283"/>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ANNUAL CASH INCENTIVE PROGRAMS</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Beginning in fiscal year 2026, the Company implemented a single consolidated cash incentive program, the Employee Incentive Program (“EIP”), which replaced the Company’s prior GRIP and broader-based BIP. The Committee believes this streamlined structure provides a more consistent and transparent framework for aligning annual incentives with Company performance across the organization to foster a shared mindset and accountability for performance results.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EIP is the annual cash-based incentive program that rewards our NEOs for the achievement of key short-term objectives. The structure of the annual cash program incentivizes NEOs to achieve annual financial results that the Committee views as critical to the execution of our business strategy, with the intent ultimately of increasing shareholder value.</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In the Committee’s view, the most senior executive officers have the greatest responsibility for the performance of the Company, and consequently, the annual incentive opportunities for such executive officers utilize only pre-established objective Company performance measures, with no individual discretionary component.</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For fiscal year 2026, the Committee, in consultation with its independent compensation consultant, approved a market-based adjustment to Mr. Anderson’s target annual cash incentive opportunity to maintain competitive market positioning relative to the revised 2026 Peer Group. Target annual cash incentive opportunities for the other NEOs, expressed as a percentage of base salary, remained unchanged from the prior year.</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360" w:before="280" w:after="283"/>
        <w:jc w:val="left"/>
        <w:rPr>
          <w:rFonts w:ascii="Tahoma;Geneva;sans-serif" w:hAnsi="Tahoma;Geneva;sans-serif"/>
          <w:b/>
          <w:i w:val="false"/>
          <w:caps w:val="false"/>
          <w:smallCaps w:val="false"/>
          <w:color w:val="4C4C4C"/>
          <w:sz w:val="32"/>
          <w:shd w:fill="FFFFFF" w:val="clear"/>
        </w:rPr>
      </w:pPr>
      <w:r>
        <w:rPr>
          <w:rFonts w:ascii="Tahoma;Geneva;sans-serif" w:hAnsi="Tahoma;Geneva;sans-serif"/>
          <w:b/>
          <w:i w:val="false"/>
          <w:caps w:val="false"/>
          <w:smallCaps w:val="false"/>
          <w:color w:val="4C4C4C"/>
          <w:sz w:val="32"/>
          <w:shd w:fill="FFFFFF" w:val="clear"/>
        </w:rPr>
        <w:t>TARGET ANNUAL CASH INCENTIVE OPPORTUNITIES</w:t>
      </w:r>
      <w:r>
        <w:rPr>
          <w:rFonts w:ascii="Tahoma;Geneva;sans-serif" w:hAnsi="Tahoma;Geneva;sans-serif"/>
          <w:b/>
          <w:i w:val="false"/>
          <w:caps w:val="false"/>
          <w:smallCaps w:val="false"/>
          <w:color w:val="000000"/>
          <w:spacing w:val="6"/>
          <w:sz w:val="32"/>
          <w:shd w:fill="FFFFFF" w:val="clear"/>
        </w:rPr>
        <w:t xml:space="preserve"> </w:t>
      </w:r>
    </w:p>
    <w:tbl>
      <w:tblPr>
        <w:tblW w:w="8741" w:type="dxa"/>
        <w:jc w:val="left"/>
        <w:tblInd w:w="893" w:type="dxa"/>
        <w:tblLayout w:type="fixed"/>
        <w:tblCellMar>
          <w:top w:w="0" w:type="dxa"/>
          <w:left w:w="0" w:type="dxa"/>
          <w:bottom w:w="0" w:type="dxa"/>
          <w:right w:w="0" w:type="dxa"/>
        </w:tblCellMar>
      </w:tblPr>
      <w:tblGrid>
        <w:gridCol w:w="124"/>
        <w:gridCol w:w="2145"/>
        <w:gridCol w:w="109"/>
        <w:gridCol w:w="109"/>
        <w:gridCol w:w="2941"/>
        <w:gridCol w:w="109"/>
        <w:gridCol w:w="109"/>
        <w:gridCol w:w="2941"/>
        <w:gridCol w:w="154"/>
      </w:tblGrid>
      <w:tr>
        <w:trPr/>
        <w:tc>
          <w:tcPr>
            <w:tcW w:w="124" w:type="dxa"/>
            <w:tcBorders/>
            <w:shd w:fill="000000" w:val="clear"/>
            <w:vAlign w:val="center"/>
          </w:tcPr>
          <w:p>
            <w:pPr>
              <w:pStyle w:val="TableContents"/>
              <w:bidi w:val="0"/>
              <w:spacing w:before="0" w:after="283"/>
              <w:jc w:val="left"/>
              <w:rPr/>
            </w:pPr>
            <w:r>
              <w:rPr/>
              <w:t>​</w:t>
            </w:r>
          </w:p>
        </w:tc>
        <w:tc>
          <w:tcPr>
            <w:tcW w:w="2145" w:type="dxa"/>
            <w:tcBorders/>
            <w:shd w:fill="000000" w:val="clear"/>
            <w:vAlign w:val="center"/>
          </w:tcPr>
          <w:p>
            <w:pPr>
              <w:pStyle w:val="TableContents"/>
              <w:bidi w:val="0"/>
              <w:spacing w:before="0" w:after="0"/>
              <w:jc w:val="left"/>
              <w:rPr/>
            </w:pPr>
            <w:r>
              <w:rPr/>
              <w:t xml:space="preserve">NEO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941" w:type="dxa"/>
            <w:tcBorders/>
            <w:shd w:fill="000000" w:val="clear"/>
            <w:vAlign w:val="center"/>
          </w:tcPr>
          <w:p>
            <w:pPr>
              <w:pStyle w:val="TableContents"/>
              <w:bidi w:val="0"/>
              <w:spacing w:before="0" w:after="0"/>
              <w:jc w:val="center"/>
              <w:rPr/>
            </w:pPr>
            <w:r>
              <w:rPr/>
              <w:t>Fiscal Year 2025 Target Cash</w:t>
              <w:br/>
              <w:t>Incentive Opportunity</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941" w:type="dxa"/>
            <w:tcBorders/>
            <w:shd w:fill="000000" w:val="clear"/>
            <w:vAlign w:val="center"/>
          </w:tcPr>
          <w:p>
            <w:pPr>
              <w:pStyle w:val="TableContents"/>
              <w:bidi w:val="0"/>
              <w:spacing w:before="0" w:after="0"/>
              <w:jc w:val="center"/>
              <w:rPr/>
            </w:pPr>
            <w:r>
              <w:rPr/>
              <w:t>Fiscal Year 2026 Target Cash</w:t>
              <w:br/>
              <w:t>Incentive Opportunity</w:t>
              <w:br/>
              <w:t xml:space="preserve">(%)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145"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Jim Anderson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94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150%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94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165%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145"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Sherri Luther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94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85%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94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85%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145"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Rob Beard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94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85%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94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85%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145"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Julie Eng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94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85%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94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85%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145"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Jeffrey Place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94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85%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94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85%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145"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Giovanni Barbarossa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94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85%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941" w:type="dxa"/>
            <w:tcBorders>
              <w:bottom w:val="single" w:sz="2" w:space="0" w:color="666666"/>
            </w:tcBorders>
            <w:tcMar>
              <w:bottom w:w="88" w:type="dxa"/>
            </w:tcMar>
            <w:vAlign w:val="center"/>
          </w:tcPr>
          <w:p>
            <w:pPr>
              <w:pStyle w:val="TableContents"/>
              <w:bidi w:val="0"/>
              <w:spacing w:before="0" w:after="0"/>
              <w:jc w:val="center"/>
              <w:rPr/>
            </w:pPr>
            <w:r>
              <w:rPr>
                <w:spacing w:val="-1"/>
              </w:rPr>
              <w:t>85%</w:t>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45</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20" w:after="283"/>
        <w:ind w:left="89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Committee selected the following two financial measures, each weighted at 50% of the total EIP opportunity, because it believes that these metrics provide a balanced measure of Coherent’s ability to deliver growth, profitability and long-term shareholder value:</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5" w:before="204"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i w:val="false"/>
          <w:caps w:val="false"/>
          <w:smallCaps w:val="false"/>
          <w:color w:val="000000"/>
          <w:spacing w:val="0"/>
          <w:sz w:val="19"/>
          <w:shd w:fill="FFFFFF" w:val="clear"/>
        </w:rPr>
        <w:t>Revenue (50%)</w:t>
      </w:r>
      <w:r>
        <w:rPr>
          <w:rFonts w:ascii="Arial;Helvetica;sans-serif" w:hAnsi="Arial;Helvetica;sans-serif"/>
          <w:b w:val="false"/>
          <w:i w:val="false"/>
          <w:caps w:val="false"/>
          <w:smallCaps w:val="false"/>
          <w:color w:val="000000"/>
          <w:spacing w:val="-1"/>
          <w:sz w:val="19"/>
          <w:shd w:fill="FFFFFF" w:val="clear"/>
        </w:rPr>
        <w:t>: The Committee selected Revenue to focus management on delivering profitable top line growth, a key strategic priority and leading indicator of the Company’s operating performance and long-term value creation.</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29540" distB="0" distL="76200" distR="0" simplePos="0" locked="0" layoutInCell="1" allowOverlap="1" relativeHeight="360">
                <wp:simplePos x="0" y="0"/>
                <wp:positionH relativeFrom="column">
                  <wp:align>left</wp:align>
                </wp:positionH>
                <wp:positionV relativeFrom="line">
                  <wp:align>top</wp:align>
                </wp:positionV>
                <wp:extent cx="127000" cy="350520"/>
                <wp:effectExtent l="0" t="0" r="0" b="0"/>
                <wp:wrapSquare wrapText="right"/>
                <wp:docPr id="332"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10.2pt;mso-wrap-distance-bottom:0pt;margin-top:10.2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204"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i w:val="false"/>
          <w:caps w:val="false"/>
          <w:smallCaps w:val="false"/>
          <w:color w:val="000000"/>
          <w:spacing w:val="0"/>
          <w:sz w:val="19"/>
          <w:shd w:fill="FFFFFF" w:val="clear"/>
        </w:rPr>
        <w:t>Adjusted EBITDA (50%)</w:t>
      </w:r>
      <w:r>
        <w:rPr>
          <w:rFonts w:ascii="Arial;Helvetica;sans-serif" w:hAnsi="Arial;Helvetica;sans-serif"/>
          <w:b w:val="false"/>
          <w:i w:val="false"/>
          <w:caps w:val="false"/>
          <w:smallCaps w:val="false"/>
          <w:color w:val="000000"/>
          <w:spacing w:val="-1"/>
          <w:sz w:val="19"/>
          <w:shd w:fill="FFFFFF" w:val="clear"/>
        </w:rPr>
        <w:t>: The Committee selected Adjusted EBITDA to incentivize operating profitability, generate the cash flow necessary to support continued investment in growth and reduce leverage, furthering our debt repayment strategy.</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29540" distB="0" distL="76200" distR="0" simplePos="0" locked="0" layoutInCell="1" allowOverlap="1" relativeHeight="361">
                <wp:simplePos x="0" y="0"/>
                <wp:positionH relativeFrom="column">
                  <wp:align>left</wp:align>
                </wp:positionH>
                <wp:positionV relativeFrom="line">
                  <wp:align>top</wp:align>
                </wp:positionV>
                <wp:extent cx="127000" cy="350520"/>
                <wp:effectExtent l="0" t="0" r="0" b="0"/>
                <wp:wrapSquare wrapText="right"/>
                <wp:docPr id="333"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10.2pt;mso-wrap-distance-bottom:0pt;margin-top:10.2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For the purposes of the EIP, “Revenue” is defined as the amount reported in our audited financial statements. “EBITDA” is defined as earnings before interest expense, interest income, income taxes, depreciation and amortization. Adjusted EBITDA excludes non-GAAP adjustments for share-based compensation, certain restructuring, integration, and transaction expenses, and the impact of foreign currency exchange gains and losses. Restructuring charges include severance, non-cash impairment charges for production assets and improvements on leased facilities, and other costs related to the restructuring plans. Integration, site consolidation and other costs include retention and severance payments, expenses not included in restructuring charges related to site closures as well as other integration costs related to the acquisition of Coherent, Inc. Start-up costs in operating expenses were related to the start-up of new devices for new customer applications.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Adjusted EBITDA is an adjusted non-GAAP financial measurement that is considered by management to be useful in measuring the profitability between companies within the industry by reflecting operating results of the Company excluding non-operating factors. There are limitations associated with the use of non-GAAP financial measures, including that such measures may not be entirely comparable to similarly titled measures used by other companies, due to potential differences among calculation methodologies. Thus, there can be no assurance whether (i) items excluded from the non-GAAP financial measures will occur in the future or (ii) there will be cash costs associated with items excluded from the non-GAAP financial measures. The Company compensates for these limitations by using these non-GAAP financial measures as supplements to GAAP financial measures and by providing the reconciliations of the non-GAAP financial measures to their most comparable GAAP financial measures. Investors should consider adjusted measures in addition to, and not as a substitute for, or superior to, financial performance measures prepared in accordance with GAAP.</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For more information on the non-GAAP measures we use for our compensation performance metrics and how such non-GAAP measures are calculated, please see the earnings press release furnished with our Current Report on Form 8-K filed with the SEC on August 12, 2026. For a reconciliation of these non-GAAP measures to their most directly comparable financial measures calculated and presented in accordance with GAAP, please see the Appendix hereto.</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360" w:before="280" w:after="283"/>
        <w:jc w:val="left"/>
        <w:rPr>
          <w:rFonts w:ascii="Tahoma;Geneva;sans-serif" w:hAnsi="Tahoma;Geneva;sans-serif"/>
          <w:b/>
          <w:i w:val="false"/>
          <w:caps w:val="false"/>
          <w:smallCaps w:val="false"/>
          <w:color w:val="4C4C4C"/>
          <w:sz w:val="32"/>
          <w:shd w:fill="FFFFFF" w:val="clear"/>
        </w:rPr>
      </w:pPr>
      <w:r>
        <w:rPr>
          <w:rFonts w:ascii="Tahoma;Geneva;sans-serif" w:hAnsi="Tahoma;Geneva;sans-serif"/>
          <w:b/>
          <w:i w:val="false"/>
          <w:caps w:val="false"/>
          <w:smallCaps w:val="false"/>
          <w:color w:val="4C4C4C"/>
          <w:sz w:val="32"/>
          <w:shd w:fill="FFFFFF" w:val="clear"/>
        </w:rPr>
        <w:t>THRESHOLD, TARGET AND MAXIMUM PERFORMANCE LEVELS</w:t>
      </w:r>
      <w:r>
        <w:rPr>
          <w:rFonts w:ascii="Tahoma;Geneva;sans-serif" w:hAnsi="Tahoma;Geneva;sans-serif"/>
          <w:b/>
          <w:i w:val="false"/>
          <w:caps w:val="false"/>
          <w:smallCaps w:val="false"/>
          <w:color w:val="000000"/>
          <w:spacing w:val="6"/>
          <w:sz w:val="32"/>
          <w:shd w:fill="FFFFFF" w:val="clear"/>
        </w:rPr>
        <w:t xml:space="preserve"> </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In the first quarter of fiscal year 2026, the Committee approved threshold, target and maximum performance levels for fiscal year 2026 based on the Company’s annual business plan. In setting these goals, the Committee took into account various factors, including forecasted growth levels for the global economy, for the geographic areas where the Company operates and for our product markets. The targets were designed to be challenging but achievable, requiring strong execution to deliver meaningful growth and profitability while appropriately reflecting the opportunities and risks incorporated in the Company’s business plan.</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360" w:before="280" w:after="283"/>
        <w:jc w:val="left"/>
        <w:rPr>
          <w:rFonts w:ascii="Tahoma;Geneva;sans-serif" w:hAnsi="Tahoma;Geneva;sans-serif"/>
          <w:b/>
          <w:i w:val="false"/>
          <w:caps w:val="false"/>
          <w:smallCaps w:val="false"/>
          <w:color w:val="4C4C4C"/>
          <w:sz w:val="32"/>
          <w:shd w:fill="FFFFFF" w:val="clear"/>
        </w:rPr>
      </w:pPr>
      <w:r>
        <w:rPr>
          <w:rFonts w:ascii="Tahoma;Geneva;sans-serif" w:hAnsi="Tahoma;Geneva;sans-serif"/>
          <w:b/>
          <w:i w:val="false"/>
          <w:caps w:val="false"/>
          <w:smallCaps w:val="false"/>
          <w:color w:val="4C4C4C"/>
          <w:sz w:val="32"/>
          <w:shd w:fill="FFFFFF" w:val="clear"/>
        </w:rPr>
        <w:t>PAYOUT LEVELS</w:t>
      </w:r>
      <w:r>
        <w:rPr>
          <w:rFonts w:ascii="Tahoma;Geneva;sans-serif" w:hAnsi="Tahoma;Geneva;sans-serif"/>
          <w:b/>
          <w:i w:val="false"/>
          <w:caps w:val="false"/>
          <w:smallCaps w:val="false"/>
          <w:color w:val="000000"/>
          <w:spacing w:val="6"/>
          <w:sz w:val="32"/>
          <w:shd w:fill="FFFFFF" w:val="clear"/>
        </w:rPr>
        <w:t xml:space="preserve"> </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Payouts are determined based on actual performance relative to the pre-established goals, using payout curves approved by the Committee for the Revenue and the Adjusted EBITDA metrics, with payouts ranging from 0% for below-threshold performance to a maximum of 200% of target for performance at or above the maximum level.</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46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360" w:before="120" w:after="4005"/>
        <w:ind w:left="893" w:right="40" w:hanging="0"/>
        <w:jc w:val="left"/>
        <w:rPr>
          <w:rFonts w:ascii="Tahoma;Geneva;sans-serif" w:hAnsi="Tahoma;Geneva;sans-serif"/>
          <w:b/>
          <w:i w:val="false"/>
          <w:caps w:val="false"/>
          <w:smallCaps w:val="false"/>
          <w:color w:val="4C4C4C"/>
          <w:sz w:val="32"/>
          <w:shd w:fill="FFFFFF" w:val="clear"/>
        </w:rPr>
      </w:pPr>
      <w:r>
        <w:rPr>
          <w:rFonts w:ascii="Tahoma;Geneva;sans-serif" w:hAnsi="Tahoma;Geneva;sans-serif"/>
          <w:b/>
          <w:i w:val="false"/>
          <w:caps w:val="false"/>
          <w:smallCaps w:val="false"/>
          <w:color w:val="4C4C4C"/>
          <w:sz w:val="32"/>
          <w:shd w:fill="FFFFFF" w:val="clear"/>
        </w:rPr>
        <w:t>FISCAL YEAR 2026 ACHIEVEMENT</w:t>
      </w:r>
      <w:r>
        <w:rPr>
          <w:rFonts w:ascii="Tahoma;Geneva;sans-serif" w:hAnsi="Tahoma;Geneva;sans-serif"/>
          <w:b/>
          <w:i w:val="false"/>
          <w:caps w:val="false"/>
          <w:smallCaps w:val="false"/>
          <w:color w:val="000000"/>
          <w:spacing w:val="6"/>
          <w:sz w:val="32"/>
          <w:shd w:fill="FFFFFF" w:val="clear"/>
        </w:rPr>
        <w:t xml:space="preserve"> </w:t>
      </w:r>
    </w:p>
    <w:tbl>
      <w:tblPr>
        <w:tblW w:w="9543" w:type="dxa"/>
        <w:jc w:val="left"/>
        <w:tblInd w:w="893" w:type="dxa"/>
        <w:tblLayout w:type="fixed"/>
        <w:tblCellMar>
          <w:top w:w="0" w:type="dxa"/>
          <w:left w:w="0" w:type="dxa"/>
          <w:bottom w:w="0" w:type="dxa"/>
          <w:right w:w="0" w:type="dxa"/>
        </w:tblCellMar>
      </w:tblPr>
      <w:tblGrid>
        <w:gridCol w:w="124"/>
        <w:gridCol w:w="1306"/>
        <w:gridCol w:w="109"/>
        <w:gridCol w:w="109"/>
        <w:gridCol w:w="1096"/>
        <w:gridCol w:w="109"/>
        <w:gridCol w:w="109"/>
        <w:gridCol w:w="1066"/>
        <w:gridCol w:w="109"/>
        <w:gridCol w:w="109"/>
        <w:gridCol w:w="1021"/>
        <w:gridCol w:w="109"/>
        <w:gridCol w:w="109"/>
        <w:gridCol w:w="1081"/>
        <w:gridCol w:w="109"/>
        <w:gridCol w:w="109"/>
        <w:gridCol w:w="1366"/>
        <w:gridCol w:w="109"/>
        <w:gridCol w:w="109"/>
        <w:gridCol w:w="1021"/>
        <w:gridCol w:w="154"/>
      </w:tblGrid>
      <w:tr>
        <w:trPr/>
        <w:tc>
          <w:tcPr>
            <w:tcW w:w="124" w:type="dxa"/>
            <w:tcBorders/>
            <w:shd w:fill="000000" w:val="clear"/>
            <w:vAlign w:val="center"/>
          </w:tcPr>
          <w:p>
            <w:pPr>
              <w:pStyle w:val="TableContents"/>
              <w:bidi w:val="0"/>
              <w:spacing w:before="0" w:after="283"/>
              <w:jc w:val="left"/>
              <w:rPr/>
            </w:pPr>
            <w:r>
              <w:rPr/>
              <w:t>​</w:t>
            </w:r>
          </w:p>
        </w:tc>
        <w:tc>
          <w:tcPr>
            <w:tcW w:w="1306" w:type="dxa"/>
            <w:tcBorders/>
            <w:shd w:fill="000000" w:val="clear"/>
            <w:vAlign w:val="center"/>
          </w:tcPr>
          <w:p>
            <w:pPr>
              <w:pStyle w:val="TableContents"/>
              <w:bidi w:val="0"/>
              <w:spacing w:before="0" w:after="0"/>
              <w:jc w:val="left"/>
              <w:rPr/>
            </w:pPr>
            <w:r>
              <w:rPr/>
              <w:t xml:space="preserve">Performance Metric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6" w:type="dxa"/>
            <w:tcBorders/>
            <w:shd w:fill="000000" w:val="clear"/>
            <w:vAlign w:val="center"/>
          </w:tcPr>
          <w:p>
            <w:pPr>
              <w:pStyle w:val="TableContents"/>
              <w:bidi w:val="0"/>
              <w:spacing w:before="0" w:after="0"/>
              <w:jc w:val="center"/>
              <w:rPr/>
            </w:pPr>
            <w:r>
              <w:rPr/>
              <w:t>Relative</w:t>
              <w:br/>
              <w:t>Weighting</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66" w:type="dxa"/>
            <w:tcBorders/>
            <w:shd w:fill="000000" w:val="clear"/>
            <w:vAlign w:val="center"/>
          </w:tcPr>
          <w:p>
            <w:pPr>
              <w:pStyle w:val="TableContents"/>
              <w:bidi w:val="0"/>
              <w:spacing w:before="0" w:after="0"/>
              <w:jc w:val="center"/>
              <w:rPr/>
            </w:pPr>
            <w:r>
              <w:rPr/>
              <w:t>Threshold</w:t>
              <w:br/>
              <w:t>75% of</w:t>
              <w:br/>
              <w:t>target</w:t>
              <w:br/>
              <w:t>payout</w:t>
              <w:br/>
              <w:t xml:space="preserve">($ million)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21" w:type="dxa"/>
            <w:tcBorders/>
            <w:shd w:fill="000000" w:val="clear"/>
            <w:vAlign w:val="center"/>
          </w:tcPr>
          <w:p>
            <w:pPr>
              <w:pStyle w:val="TableContents"/>
              <w:bidi w:val="0"/>
              <w:spacing w:before="0" w:after="0"/>
              <w:jc w:val="center"/>
              <w:rPr/>
            </w:pPr>
            <w:r>
              <w:rPr/>
              <w:t>Target</w:t>
              <w:br/>
              <w:t>100% of</w:t>
              <w:br/>
              <w:t>target</w:t>
              <w:br/>
              <w:t>payout</w:t>
              <w:br/>
              <w:t xml:space="preserve">($ million)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81" w:type="dxa"/>
            <w:tcBorders/>
            <w:shd w:fill="000000" w:val="clear"/>
            <w:vAlign w:val="center"/>
          </w:tcPr>
          <w:p>
            <w:pPr>
              <w:pStyle w:val="TableContents"/>
              <w:bidi w:val="0"/>
              <w:spacing w:before="0" w:after="0"/>
              <w:jc w:val="center"/>
              <w:rPr/>
            </w:pPr>
            <w:r>
              <w:rPr/>
              <w:t>Maximum</w:t>
              <w:br/>
              <w:t>200% of</w:t>
              <w:br/>
              <w:t>target</w:t>
              <w:br/>
              <w:t>payout</w:t>
              <w:br/>
              <w:t xml:space="preserve">($ million)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66" w:type="dxa"/>
            <w:tcBorders/>
            <w:shd w:fill="000000" w:val="clear"/>
            <w:vAlign w:val="center"/>
          </w:tcPr>
          <w:p>
            <w:pPr>
              <w:pStyle w:val="TableContents"/>
              <w:bidi w:val="0"/>
              <w:spacing w:before="0" w:after="0"/>
              <w:jc w:val="center"/>
              <w:rPr/>
            </w:pPr>
            <w:r>
              <w:rPr/>
              <w:t>Actual</w:t>
              <w:br/>
              <w:t>Achievement</w:t>
              <w:br/>
              <w:t>Including</w:t>
              <w:br/>
              <w:t>Approved</w:t>
              <w:br/>
              <w:t>Adjustments</w:t>
              <w:br/>
              <w:t xml:space="preserve">($ million)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21" w:type="dxa"/>
            <w:tcBorders/>
            <w:shd w:fill="000000" w:val="clear"/>
            <w:vAlign w:val="center"/>
          </w:tcPr>
          <w:p>
            <w:pPr>
              <w:pStyle w:val="TableContents"/>
              <w:bidi w:val="0"/>
              <w:spacing w:before="0" w:after="0"/>
              <w:jc w:val="center"/>
              <w:rPr/>
            </w:pPr>
            <w:r>
              <w:rPr/>
              <w:t>Weighted</w:t>
              <w:br/>
              <w:t>Payout</w:t>
              <w:br/>
              <w:t xml:space="preserve">(%)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306" w:type="dxa"/>
            <w:tcBorders>
              <w:bottom w:val="single" w:sz="2" w:space="0" w:color="666666"/>
            </w:tcBorders>
            <w:tcMar>
              <w:bottom w:w="88" w:type="dxa"/>
            </w:tcMar>
            <w:vAlign w:val="center"/>
          </w:tcPr>
          <w:p>
            <w:pPr>
              <w:pStyle w:val="TableContents"/>
              <w:bidi w:val="0"/>
              <w:spacing w:before="0" w:after="0"/>
              <w:jc w:val="left"/>
              <w:rPr>
                <w:b/>
              </w:rPr>
            </w:pPr>
            <w:r>
              <w:rPr>
                <w:b/>
                <w:spacing w:val="0"/>
              </w:rPr>
              <w:t>Revenue</w:t>
            </w:r>
            <w:r>
              <w:rPr>
                <w:b/>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50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4,777.5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2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6,370.0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7,325.5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6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7,287.9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2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190%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306" w:type="dxa"/>
            <w:tcBorders>
              <w:bottom w:val="single" w:sz="2" w:space="0" w:color="666666"/>
            </w:tcBorders>
            <w:tcMar>
              <w:bottom w:w="88" w:type="dxa"/>
            </w:tcMar>
            <w:vAlign w:val="center"/>
          </w:tcPr>
          <w:p>
            <w:pPr>
              <w:pStyle w:val="TableContents"/>
              <w:bidi w:val="0"/>
              <w:spacing w:before="0" w:after="0"/>
              <w:jc w:val="left"/>
              <w:rPr>
                <w:b/>
              </w:rPr>
            </w:pPr>
            <w:r>
              <w:rPr>
                <w:b/>
                <w:spacing w:val="0"/>
              </w:rPr>
              <w:t>Adjusted EBITDA</w:t>
            </w:r>
            <w:r>
              <w:rPr>
                <w:b/>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50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1,162.5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2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1,550.0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1,782.5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6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1,744.7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2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190%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306" w:type="dxa"/>
            <w:tcBorders>
              <w:bottom w:val="single" w:sz="2" w:space="0" w:color="666666"/>
            </w:tcBorders>
            <w:tcMar>
              <w:bottom w:w="88" w:type="dxa"/>
            </w:tcMar>
            <w:vAlign w:val="center"/>
          </w:tcPr>
          <w:p>
            <w:pPr>
              <w:pStyle w:val="TableContents"/>
              <w:bidi w:val="0"/>
              <w:spacing w:before="0" w:after="0"/>
              <w:jc w:val="left"/>
              <w:rPr>
                <w:b/>
              </w:rPr>
            </w:pPr>
            <w:r>
              <w:rPr>
                <w:b/>
                <w:spacing w:val="0"/>
              </w:rPr>
              <w:t>Total Weighted Payout</w:t>
            </w:r>
            <w:r>
              <w:rPr>
                <w:b/>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6" w:type="dxa"/>
            <w:tcBorders>
              <w:bottom w:val="single" w:sz="2" w:space="0" w:color="666666"/>
            </w:tcBorders>
            <w:tcMar>
              <w:bottom w:w="8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21" w:type="dxa"/>
            <w:tcBorders>
              <w:bottom w:val="single" w:sz="2" w:space="0" w:color="666666"/>
            </w:tcBorders>
            <w:tcMar>
              <w:bottom w:w="8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66" w:type="dxa"/>
            <w:tcBorders>
              <w:bottom w:val="single" w:sz="2" w:space="0" w:color="666666"/>
            </w:tcBorders>
            <w:tcMar>
              <w:bottom w:w="8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21" w:type="dxa"/>
            <w:tcBorders>
              <w:bottom w:val="single" w:sz="2" w:space="0" w:color="666666"/>
            </w:tcBorders>
            <w:tcMar>
              <w:bottom w:w="88" w:type="dxa"/>
            </w:tcMar>
            <w:vAlign w:val="center"/>
          </w:tcPr>
          <w:p>
            <w:pPr>
              <w:pStyle w:val="TableContents"/>
              <w:bidi w:val="0"/>
              <w:spacing w:before="0" w:after="0"/>
              <w:jc w:val="center"/>
              <w:rPr/>
            </w:pPr>
            <w:r>
              <w:rPr>
                <w:spacing w:val="-1"/>
              </w:rPr>
              <w:t>190%</w:t>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lineRule="atLeast" w:line="360" w:before="620" w:after="283"/>
        <w:ind w:left="893" w:right="40" w:hanging="0"/>
        <w:jc w:val="left"/>
        <w:rPr>
          <w:rFonts w:ascii="Tahoma;Geneva;sans-serif" w:hAnsi="Tahoma;Geneva;sans-serif"/>
          <w:b/>
          <w:i w:val="false"/>
          <w:caps w:val="false"/>
          <w:smallCaps w:val="false"/>
          <w:color w:val="4C4C4C"/>
          <w:sz w:val="32"/>
          <w:shd w:fill="FFFFFF" w:val="clear"/>
        </w:rPr>
      </w:pPr>
      <w:r>
        <w:rPr>
          <w:rFonts w:ascii="Tahoma;Geneva;sans-serif" w:hAnsi="Tahoma;Geneva;sans-serif"/>
          <w:b/>
          <w:i w:val="false"/>
          <w:caps w:val="false"/>
          <w:smallCaps w:val="false"/>
          <w:color w:val="4C4C4C"/>
          <w:sz w:val="32"/>
          <w:shd w:fill="FFFFFF" w:val="clear"/>
        </w:rPr>
        <w:t>PAYOUT DETERMINATION</w:t>
      </w:r>
      <w:r>
        <w:rPr>
          <w:rFonts w:ascii="Tahoma;Geneva;sans-serif" w:hAnsi="Tahoma;Geneva;sans-serif"/>
          <w:b/>
          <w:i w:val="false"/>
          <w:caps w:val="false"/>
          <w:smallCaps w:val="false"/>
          <w:color w:val="000000"/>
          <w:spacing w:val="6"/>
          <w:sz w:val="32"/>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In the first quarter of fiscal year 2026, the Committee certified achieved performance levels relative to the targets to determine the respective payout levels.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total payout under the EIP annual cash incentive program for each NEO for fiscal year 2026 is reflected in the table below.</w:t>
      </w:r>
      <w:r>
        <w:rPr>
          <w:rFonts w:ascii="Arial;Helvetica;sans-serif" w:hAnsi="Arial;Helvetica;sans-serif"/>
          <w:b w:val="false"/>
          <w:i w:val="false"/>
          <w:caps w:val="false"/>
          <w:smallCaps w:val="false"/>
          <w:color w:val="000000"/>
          <w:spacing w:val="4"/>
          <w:sz w:val="19"/>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1444"/>
        <w:gridCol w:w="109"/>
        <w:gridCol w:w="109"/>
        <w:gridCol w:w="1256"/>
        <w:gridCol w:w="109"/>
        <w:gridCol w:w="109"/>
        <w:gridCol w:w="1560"/>
        <w:gridCol w:w="109"/>
        <w:gridCol w:w="109"/>
        <w:gridCol w:w="1075"/>
        <w:gridCol w:w="109"/>
        <w:gridCol w:w="109"/>
        <w:gridCol w:w="1306"/>
        <w:gridCol w:w="109"/>
        <w:gridCol w:w="109"/>
        <w:gridCol w:w="1261"/>
        <w:gridCol w:w="156"/>
      </w:tblGrid>
      <w:tr>
        <w:trPr/>
        <w:tc>
          <w:tcPr>
            <w:tcW w:w="124" w:type="dxa"/>
            <w:tcBorders/>
            <w:shd w:fill="000000" w:val="clear"/>
            <w:vAlign w:val="center"/>
          </w:tcPr>
          <w:p>
            <w:pPr>
              <w:pStyle w:val="TableContents"/>
              <w:bidi w:val="0"/>
              <w:spacing w:before="0" w:after="283"/>
              <w:jc w:val="left"/>
              <w:rPr/>
            </w:pPr>
            <w:r>
              <w:rPr/>
              <w:t>​</w:t>
            </w:r>
          </w:p>
        </w:tc>
        <w:tc>
          <w:tcPr>
            <w:tcW w:w="1444" w:type="dxa"/>
            <w:tcBorders/>
            <w:shd w:fill="000000" w:val="clear"/>
            <w:vAlign w:val="center"/>
          </w:tcPr>
          <w:p>
            <w:pPr>
              <w:pStyle w:val="TableContents"/>
              <w:bidi w:val="0"/>
              <w:spacing w:before="0" w:after="0"/>
              <w:jc w:val="left"/>
              <w:rPr/>
            </w:pPr>
            <w:r>
              <w:rPr/>
              <w:t xml:space="preserve">NEO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56" w:type="dxa"/>
            <w:tcBorders/>
            <w:shd w:fill="000000" w:val="clear"/>
            <w:vAlign w:val="center"/>
          </w:tcPr>
          <w:p>
            <w:pPr>
              <w:pStyle w:val="TableContents"/>
              <w:bidi w:val="0"/>
              <w:spacing w:before="0" w:after="0"/>
              <w:jc w:val="center"/>
              <w:rPr/>
            </w:pPr>
            <w:r>
              <w:rPr/>
              <w:t>Fiscal Year 2026</w:t>
              <w:br/>
              <w:t>Base Salary</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60" w:type="dxa"/>
            <w:tcBorders/>
            <w:shd w:fill="000000" w:val="clear"/>
            <w:vAlign w:val="center"/>
          </w:tcPr>
          <w:p>
            <w:pPr>
              <w:pStyle w:val="TableContents"/>
              <w:bidi w:val="0"/>
              <w:spacing w:before="0" w:after="0"/>
              <w:jc w:val="center"/>
              <w:rPr/>
            </w:pPr>
            <w:r>
              <w:rPr/>
              <w:t>Fiscal Year 2026 EIP</w:t>
              <w:br/>
              <w:t>Target Cash Incentive</w:t>
              <w:br/>
              <w:t>Opportunity (as a % of</w:t>
              <w:br/>
              <w:t>Base Salary)</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75" w:type="dxa"/>
            <w:tcBorders/>
            <w:shd w:fill="000000" w:val="clear"/>
            <w:vAlign w:val="center"/>
          </w:tcPr>
          <w:p>
            <w:pPr>
              <w:pStyle w:val="TableContents"/>
              <w:bidi w:val="0"/>
              <w:spacing w:before="0" w:after="0"/>
              <w:jc w:val="center"/>
              <w:rPr/>
            </w:pPr>
            <w:r>
              <w:rPr/>
              <w:t>Target</w:t>
              <w:br/>
              <w:t>Incentive</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06" w:type="dxa"/>
            <w:tcBorders/>
            <w:shd w:fill="000000" w:val="clear"/>
            <w:vAlign w:val="center"/>
          </w:tcPr>
          <w:p>
            <w:pPr>
              <w:pStyle w:val="TableContents"/>
              <w:bidi w:val="0"/>
              <w:spacing w:before="0" w:after="0"/>
              <w:jc w:val="center"/>
              <w:rPr/>
            </w:pPr>
            <w:r>
              <w:rPr/>
              <w:t>Performance</w:t>
              <w:br/>
              <w:t>Attainment</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61" w:type="dxa"/>
            <w:tcBorders/>
            <w:shd w:fill="000000" w:val="clear"/>
            <w:vAlign w:val="center"/>
          </w:tcPr>
          <w:p>
            <w:pPr>
              <w:pStyle w:val="TableContents"/>
              <w:bidi w:val="0"/>
              <w:spacing w:before="0" w:after="0"/>
              <w:jc w:val="center"/>
              <w:rPr/>
            </w:pPr>
            <w:r>
              <w:rPr/>
              <w:t>Total Fiscal Year</w:t>
              <w:br/>
              <w:t>2026 EIP Cash</w:t>
              <w:br/>
              <w:t>Incentive Payout</w:t>
              <w:br/>
              <w:t>Amount</w:t>
              <w:br/>
              <w:t xml:space="preserve">($) </w:t>
            </w:r>
          </w:p>
        </w:tc>
        <w:tc>
          <w:tcPr>
            <w:tcW w:w="156"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444"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Jim Anderson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5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1,102,400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60"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165%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75"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1,818,960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0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190%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6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3,456,024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444"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Sherri Luther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5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656,250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60"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85%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75"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557,813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0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190%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6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1,059,844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444"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Rob Beard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5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686,400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60"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85%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75"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583,440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0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190%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6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1,108,536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444"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Julie Eng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5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551,694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60"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85%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75"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468,940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0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190%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6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890,986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444"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Jeffrey Place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5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550,000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60"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85%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75"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467,500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0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190%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6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888,250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444"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Giovanni Barbarossa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5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680,212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60"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85%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75"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578,180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0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190%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61" w:type="dxa"/>
            <w:tcBorders>
              <w:bottom w:val="single" w:sz="2" w:space="0" w:color="666666"/>
            </w:tcBorders>
            <w:tcMar>
              <w:bottom w:w="88" w:type="dxa"/>
            </w:tcMar>
            <w:vAlign w:val="center"/>
          </w:tcPr>
          <w:p>
            <w:pPr>
              <w:pStyle w:val="TableContents"/>
              <w:bidi w:val="0"/>
              <w:spacing w:before="0" w:after="0"/>
              <w:jc w:val="center"/>
              <w:rPr/>
            </w:pPr>
            <w:r>
              <w:rPr>
                <w:spacing w:val="-1"/>
              </w:rPr>
              <w:t>1,098,542</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47</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440" w:before="120" w:after="283"/>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LONG-TERM INCENTIVES</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third and largest component of the Coherent executive compensation program is long-term equity incentives. Long-term equity incentive awards are prospective in nature and intended to tie a substantial portion of an executive’s pay to creating long-term shareholder value. The Committee designed the long-term incentive opportunity to motivate and reward Coherent’s executive officers to achieve multi-year strategic goals and to deliver sustained long-term value to shareholders. The long-term incentives create a strong link between payouts and performance, and alignment between the interests of executive officers and the interests of Coherent’s shareholders. Long-term equity incentives also promote retention as executive officers will only receive value if they remain employed over the required term, and they foster an ownership culture among Coherent’s executive officers by making them shareholders with a personal stake in the value they create.</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360" w:before="280" w:after="283"/>
        <w:jc w:val="left"/>
        <w:rPr>
          <w:rFonts w:ascii="Tahoma;Geneva;sans-serif" w:hAnsi="Tahoma;Geneva;sans-serif"/>
          <w:b/>
          <w:i w:val="false"/>
          <w:caps w:val="false"/>
          <w:smallCaps w:val="false"/>
          <w:color w:val="4C4C4C"/>
          <w:sz w:val="32"/>
          <w:shd w:fill="FFFFFF" w:val="clear"/>
        </w:rPr>
      </w:pPr>
      <w:r>
        <w:rPr>
          <w:rFonts w:ascii="Tahoma;Geneva;sans-serif" w:hAnsi="Tahoma;Geneva;sans-serif"/>
          <w:b/>
          <w:i w:val="false"/>
          <w:caps w:val="false"/>
          <w:smallCaps w:val="false"/>
          <w:color w:val="4C4C4C"/>
          <w:sz w:val="32"/>
          <w:shd w:fill="FFFFFF" w:val="clear"/>
        </w:rPr>
        <w:t>EQUITY VEHICLES AND MIX: PSUS AND RSUS</w:t>
      </w:r>
      <w:r>
        <w:rPr>
          <w:rFonts w:ascii="Tahoma;Geneva;sans-serif" w:hAnsi="Tahoma;Geneva;sans-serif"/>
          <w:b/>
          <w:i w:val="false"/>
          <w:caps w:val="false"/>
          <w:smallCaps w:val="false"/>
          <w:color w:val="000000"/>
          <w:spacing w:val="6"/>
          <w:sz w:val="32"/>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mix of long-term incentives granted to the NEOs in fiscal year 2026 is shown below:</w:t>
      </w:r>
      <w:r>
        <w:rPr>
          <w:rFonts w:ascii="Arial;Helvetica;sans-serif" w:hAnsi="Arial;Helvetica;sans-serif"/>
          <w:b w:val="false"/>
          <w:i w:val="false"/>
          <w:caps w:val="false"/>
          <w:smallCaps w:val="false"/>
          <w:color w:val="000000"/>
          <w:spacing w:val="4"/>
          <w:sz w:val="19"/>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845"/>
        <w:gridCol w:w="109"/>
        <w:gridCol w:w="109"/>
        <w:gridCol w:w="1102"/>
        <w:gridCol w:w="109"/>
        <w:gridCol w:w="109"/>
        <w:gridCol w:w="1739"/>
        <w:gridCol w:w="109"/>
        <w:gridCol w:w="109"/>
        <w:gridCol w:w="2416"/>
        <w:gridCol w:w="109"/>
        <w:gridCol w:w="109"/>
        <w:gridCol w:w="2017"/>
        <w:gridCol w:w="157"/>
      </w:tblGrid>
      <w:tr>
        <w:trPr/>
        <w:tc>
          <w:tcPr>
            <w:tcW w:w="124" w:type="dxa"/>
            <w:tcBorders/>
            <w:shd w:fill="000000" w:val="clear"/>
            <w:vAlign w:val="center"/>
          </w:tcPr>
          <w:p>
            <w:pPr>
              <w:pStyle w:val="TableContents"/>
              <w:bidi w:val="0"/>
              <w:spacing w:before="0" w:after="283"/>
              <w:jc w:val="left"/>
              <w:rPr/>
            </w:pPr>
            <w:r>
              <w:rPr/>
              <w:t>​</w:t>
            </w:r>
          </w:p>
        </w:tc>
        <w:tc>
          <w:tcPr>
            <w:tcW w:w="845" w:type="dxa"/>
            <w:tcBorders/>
            <w:shd w:fill="000000" w:val="clear"/>
            <w:vAlign w:val="center"/>
          </w:tcPr>
          <w:p>
            <w:pPr>
              <w:pStyle w:val="TableContents"/>
              <w:bidi w:val="0"/>
              <w:spacing w:before="0" w:after="283"/>
              <w:jc w:val="left"/>
              <w:rPr/>
            </w:pPr>
            <w:r>
              <w:rPr/>
              <w:t>Equity</w:t>
              <w:br/>
              <w:t xml:space="preserve">Vehicle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02" w:type="dxa"/>
            <w:tcBorders/>
            <w:shd w:fill="000000" w:val="clear"/>
            <w:vAlign w:val="center"/>
          </w:tcPr>
          <w:p>
            <w:pPr>
              <w:pStyle w:val="TableContents"/>
              <w:bidi w:val="0"/>
              <w:spacing w:before="0" w:after="283"/>
              <w:jc w:val="left"/>
              <w:rPr/>
            </w:pPr>
            <w:r>
              <w:rPr/>
              <w:t>Fiscal Year</w:t>
              <w:br/>
              <w:t>2026</w:t>
              <w:br/>
              <w:t xml:space="preserve">Allocation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39" w:type="dxa"/>
            <w:tcBorders/>
            <w:shd w:fill="000000" w:val="clear"/>
            <w:vAlign w:val="center"/>
          </w:tcPr>
          <w:p>
            <w:pPr>
              <w:pStyle w:val="TableContents"/>
              <w:bidi w:val="0"/>
              <w:spacing w:before="0" w:after="283"/>
              <w:jc w:val="left"/>
              <w:rPr/>
            </w:pPr>
            <w:r>
              <w:rPr/>
              <w:t>Vesting</w:t>
              <w:br/>
              <w:t xml:space="preserve">Period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416" w:type="dxa"/>
            <w:tcBorders/>
            <w:shd w:fill="000000" w:val="clear"/>
            <w:vAlign w:val="center"/>
          </w:tcPr>
          <w:p>
            <w:pPr>
              <w:pStyle w:val="TableContents"/>
              <w:bidi w:val="0"/>
              <w:spacing w:before="0" w:after="0"/>
              <w:jc w:val="left"/>
              <w:rPr/>
            </w:pPr>
            <w:r>
              <w:rPr/>
              <w:t xml:space="preserve">How Value is Delivered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017" w:type="dxa"/>
            <w:tcBorders/>
            <w:shd w:fill="000000" w:val="clear"/>
            <w:vAlign w:val="center"/>
          </w:tcPr>
          <w:p>
            <w:pPr>
              <w:pStyle w:val="TableContents"/>
              <w:bidi w:val="0"/>
              <w:spacing w:before="0" w:after="0"/>
              <w:jc w:val="left"/>
              <w:rPr/>
            </w:pPr>
            <w:r>
              <w:rPr/>
              <w:t xml:space="preserve">Rationale for Use </w:t>
            </w:r>
          </w:p>
        </w:tc>
        <w:tc>
          <w:tcPr>
            <w:tcW w:w="157"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845" w:type="dxa"/>
            <w:tcBorders>
              <w:bottom w:val="single" w:sz="2" w:space="0" w:color="666666"/>
            </w:tcBorders>
            <w:tcMar>
              <w:bottom w:w="70" w:type="dxa"/>
            </w:tcMar>
            <w:vAlign w:val="center"/>
          </w:tcPr>
          <w:p>
            <w:pPr>
              <w:pStyle w:val="TableContents"/>
              <w:bidi w:val="0"/>
              <w:spacing w:before="0" w:after="0"/>
              <w:jc w:val="left"/>
              <w:rPr>
                <w:b/>
              </w:rPr>
            </w:pPr>
            <w:r>
              <w:rPr>
                <w:b/>
                <w:spacing w:val="0"/>
              </w:rPr>
              <w:t>PSUs</w:t>
            </w:r>
            <w:r>
              <w:rPr>
                <w:b/>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02" w:type="dxa"/>
            <w:tcBorders>
              <w:bottom w:val="single" w:sz="2" w:space="0" w:color="666666"/>
            </w:tcBorders>
            <w:tcMar>
              <w:bottom w:w="70" w:type="dxa"/>
            </w:tcMar>
            <w:vAlign w:val="center"/>
          </w:tcPr>
          <w:p>
            <w:pPr>
              <w:pStyle w:val="TableContents"/>
              <w:bidi w:val="0"/>
              <w:spacing w:before="0" w:after="283"/>
              <w:jc w:val="left"/>
              <w:rPr>
                <w:spacing w:val="-1"/>
              </w:rPr>
            </w:pPr>
            <w:r>
              <w:rPr>
                <w:spacing w:val="-1"/>
              </w:rPr>
              <w:t xml:space="preserve">60%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739" w:type="dxa"/>
            <w:tcBorders>
              <w:bottom w:val="single" w:sz="2" w:space="0" w:color="666666"/>
            </w:tcBorders>
            <w:tcMar>
              <w:bottom w:w="70" w:type="dxa"/>
            </w:tcMar>
            <w:vAlign w:val="center"/>
          </w:tcPr>
          <w:p>
            <w:pPr>
              <w:pStyle w:val="TableContents"/>
              <w:bidi w:val="0"/>
              <w:spacing w:before="0" w:after="283"/>
              <w:jc w:val="left"/>
              <w:rPr>
                <w:spacing w:val="-1"/>
              </w:rPr>
            </w:pPr>
            <w:r>
              <w:rPr>
                <w:spacing w:val="-1"/>
              </w:rPr>
              <w:t xml:space="preserve">3-year cliff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416" w:type="dxa"/>
            <w:tcBorders>
              <w:bottom w:val="single" w:sz="2" w:space="0" w:color="666666"/>
            </w:tcBorders>
            <w:tcMar>
              <w:bottom w:w="70" w:type="dxa"/>
            </w:tcMar>
            <w:vAlign w:val="center"/>
          </w:tcPr>
          <w:p>
            <w:pPr>
              <w:pStyle w:val="TableContents"/>
              <w:bidi w:val="0"/>
              <w:spacing w:before="0" w:after="283"/>
              <w:jc w:val="left"/>
              <w:rPr>
                <w:spacing w:val="-1"/>
              </w:rPr>
            </w:pPr>
            <w:r>
              <w:rPr>
                <w:spacing w:val="-1"/>
              </w:rPr>
              <w:t xml:space="preserve">Fiscal Year 2026-2028 Relative TSR (100%) measured against S&amp;P Composite 1500 – Electronic Equipment Instruments &amp; Components Index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017" w:type="dxa"/>
            <w:tcBorders>
              <w:bottom w:val="single" w:sz="2" w:space="0" w:color="666666"/>
            </w:tcBorders>
            <w:tcMar>
              <w:bottom w:w="70" w:type="dxa"/>
            </w:tcMar>
            <w:vAlign w:val="center"/>
          </w:tcPr>
          <w:p>
            <w:pPr>
              <w:pStyle w:val="TableContents"/>
              <w:bidi w:val="0"/>
              <w:spacing w:lineRule="atLeast" w:line="255" w:before="0" w:after="0"/>
              <w:ind w:left="185" w:right="0" w:hanging="0"/>
              <w:jc w:val="left"/>
              <w:rPr/>
            </w:pPr>
            <w:r>
              <w:rPr>
                <w:spacing w:val="-1"/>
              </w:rPr>
              <w:t>TSR ties executive officer compensation to shareholder value creation</w:t>
            </w:r>
            <w:r>
              <w:rPr/>
              <w:t xml:space="preserve"> </w:t>
            </w:r>
            <w:r>
              <mc:AlternateContent>
                <mc:Choice Requires="wps">
                  <w:drawing>
                    <wp:anchor behindDoc="0" distT="0" distB="0" distL="0" distR="0" simplePos="0" locked="0" layoutInCell="1" allowOverlap="1" relativeHeight="362">
                      <wp:simplePos x="0" y="0"/>
                      <wp:positionH relativeFrom="column">
                        <wp:align>left</wp:align>
                      </wp:positionH>
                      <wp:positionV relativeFrom="line">
                        <wp:posOffset>635</wp:posOffset>
                      </wp:positionV>
                      <wp:extent cx="117475" cy="350520"/>
                      <wp:effectExtent l="0" t="0" r="0" b="0"/>
                      <wp:wrapSquare wrapText="right"/>
                      <wp:docPr id="334" name="Frame140"/>
                      <a:graphic xmlns:a="http://schemas.openxmlformats.org/drawingml/2006/main">
                        <a:graphicData uri="http://schemas.microsoft.com/office/word/2010/wordprocessingShape">
                          <wps:wsp>
                            <wps:cNvSpPr txBox="1"/>
                            <wps:spPr>
                              <a:xfrm>
                                <a:off x="0" y="0"/>
                                <a:ext cx="117475"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55" w:before="190" w:after="0"/>
              <w:ind w:left="185" w:right="0" w:hanging="0"/>
              <w:jc w:val="left"/>
              <w:rPr>
                <w:spacing w:val="-1"/>
              </w:rPr>
            </w:pPr>
            <w:r>
              <w:rPr>
                <w:spacing w:val="-1"/>
              </w:rPr>
              <w:t xml:space="preserve">Use of relative TSR incentivizes outperformance relative to the industry index </w:t>
            </w:r>
            <w:r>
              <mc:AlternateContent>
                <mc:Choice Requires="wps">
                  <w:drawing>
                    <wp:anchor behindDoc="0" distT="120650" distB="0" distL="0" distR="0" simplePos="0" locked="0" layoutInCell="1" allowOverlap="1" relativeHeight="363">
                      <wp:simplePos x="0" y="0"/>
                      <wp:positionH relativeFrom="column">
                        <wp:align>left</wp:align>
                      </wp:positionH>
                      <wp:positionV relativeFrom="line">
                        <wp:align>top</wp:align>
                      </wp:positionV>
                      <wp:extent cx="117475" cy="350520"/>
                      <wp:effectExtent l="0" t="0" r="0" b="0"/>
                      <wp:wrapSquare wrapText="right"/>
                      <wp:docPr id="335" name="Frame141"/>
                      <a:graphic xmlns:a="http://schemas.openxmlformats.org/drawingml/2006/main">
                        <a:graphicData uri="http://schemas.microsoft.com/office/word/2010/wordprocessingShape">
                          <wps:wsp>
                            <wps:cNvSpPr txBox="1"/>
                            <wps:spPr>
                              <a:xfrm>
                                <a:off x="0" y="0"/>
                                <a:ext cx="117475"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25pt;height:27.6pt;mso-wrap-distance-left:0pt;mso-wrap-distance-right:0pt;mso-wrap-distance-top:9.5pt;mso-wrap-distance-bottom:0pt;margin-top:9.5pt;mso-position-vertical:top;mso-position-vertical-relative:text;margin-left:0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845" w:type="dxa"/>
            <w:tcBorders>
              <w:bottom w:val="single" w:sz="2" w:space="0" w:color="666666"/>
            </w:tcBorders>
            <w:tcMar>
              <w:bottom w:w="70" w:type="dxa"/>
            </w:tcMar>
            <w:vAlign w:val="center"/>
          </w:tcPr>
          <w:p>
            <w:pPr>
              <w:pStyle w:val="TableContents"/>
              <w:bidi w:val="0"/>
              <w:spacing w:before="0" w:after="0"/>
              <w:jc w:val="left"/>
              <w:rPr>
                <w:b/>
              </w:rPr>
            </w:pPr>
            <w:r>
              <w:rPr>
                <w:b/>
                <w:spacing w:val="0"/>
              </w:rPr>
              <w:t>RSUs</w:t>
            </w:r>
            <w:r>
              <w:rPr>
                <w:b/>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02" w:type="dxa"/>
            <w:tcBorders>
              <w:bottom w:val="single" w:sz="2" w:space="0" w:color="666666"/>
            </w:tcBorders>
            <w:tcMar>
              <w:bottom w:w="70" w:type="dxa"/>
            </w:tcMar>
            <w:vAlign w:val="center"/>
          </w:tcPr>
          <w:p>
            <w:pPr>
              <w:pStyle w:val="TableContents"/>
              <w:bidi w:val="0"/>
              <w:spacing w:before="0" w:after="283"/>
              <w:jc w:val="left"/>
              <w:rPr>
                <w:spacing w:val="-1"/>
              </w:rPr>
            </w:pPr>
            <w:r>
              <w:rPr>
                <w:spacing w:val="-1"/>
              </w:rPr>
              <w:t xml:space="preserve">40%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739" w:type="dxa"/>
            <w:tcBorders>
              <w:bottom w:val="single" w:sz="2" w:space="0" w:color="666666"/>
            </w:tcBorders>
            <w:tcMar>
              <w:bottom w:w="70" w:type="dxa"/>
            </w:tcMar>
            <w:vAlign w:val="center"/>
          </w:tcPr>
          <w:p>
            <w:pPr>
              <w:pStyle w:val="TableContents"/>
              <w:bidi w:val="0"/>
              <w:spacing w:before="0" w:after="283"/>
              <w:jc w:val="left"/>
              <w:rPr>
                <w:spacing w:val="-1"/>
              </w:rPr>
            </w:pPr>
            <w:r>
              <w:rPr>
                <w:spacing w:val="-1"/>
              </w:rPr>
              <w:t xml:space="preserve">1/3-vest on 1st anniversary with the remainder vesting ratably over the following 8 quarters.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416" w:type="dxa"/>
            <w:tcBorders>
              <w:bottom w:val="single" w:sz="2" w:space="0" w:color="666666"/>
            </w:tcBorders>
            <w:tcMar>
              <w:bottom w:w="70" w:type="dxa"/>
            </w:tcMar>
            <w:vAlign w:val="center"/>
          </w:tcPr>
          <w:p>
            <w:pPr>
              <w:pStyle w:val="TableContents"/>
              <w:bidi w:val="0"/>
              <w:spacing w:before="0" w:after="283"/>
              <w:jc w:val="left"/>
              <w:rPr>
                <w:spacing w:val="-1"/>
              </w:rPr>
            </w:pPr>
            <w:r>
              <w:rPr>
                <w:spacing w:val="-1"/>
              </w:rPr>
              <w:t xml:space="preserve">Value of stock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017" w:type="dxa"/>
            <w:tcBorders>
              <w:bottom w:val="single" w:sz="2" w:space="0" w:color="666666"/>
            </w:tcBorders>
            <w:tcMar>
              <w:bottom w:w="70" w:type="dxa"/>
            </w:tcMar>
            <w:vAlign w:val="center"/>
          </w:tcPr>
          <w:p>
            <w:pPr>
              <w:pStyle w:val="TableContents"/>
              <w:bidi w:val="0"/>
              <w:spacing w:lineRule="atLeast" w:line="185" w:before="0" w:after="0"/>
              <w:ind w:left="185" w:right="0" w:hanging="0"/>
              <w:jc w:val="left"/>
              <w:rPr/>
            </w:pPr>
            <w:r>
              <w:rPr>
                <w:spacing w:val="-1"/>
              </w:rPr>
              <w:t>Aligns with shareholders</w:t>
            </w:r>
            <w:r>
              <w:rPr/>
              <w:t xml:space="preserve"> </w:t>
            </w:r>
            <w:r>
              <mc:AlternateContent>
                <mc:Choice Requires="wps">
                  <w:drawing>
                    <wp:anchor behindDoc="0" distT="0" distB="0" distL="0" distR="0" simplePos="0" locked="0" layoutInCell="1" allowOverlap="1" relativeHeight="364">
                      <wp:simplePos x="0" y="0"/>
                      <wp:positionH relativeFrom="column">
                        <wp:align>left</wp:align>
                      </wp:positionH>
                      <wp:positionV relativeFrom="line">
                        <wp:posOffset>635</wp:posOffset>
                      </wp:positionV>
                      <wp:extent cx="117475" cy="350520"/>
                      <wp:effectExtent l="0" t="0" r="0" b="0"/>
                      <wp:wrapSquare wrapText="right"/>
                      <wp:docPr id="336" name="Frame142"/>
                      <a:graphic xmlns:a="http://schemas.openxmlformats.org/drawingml/2006/main">
                        <a:graphicData uri="http://schemas.microsoft.com/office/word/2010/wordprocessingShape">
                          <wps:wsp>
                            <wps:cNvSpPr txBox="1"/>
                            <wps:spPr>
                              <a:xfrm>
                                <a:off x="0" y="0"/>
                                <a:ext cx="117475" cy="350520"/>
                              </a:xfrm>
                              <a:prstGeom prst="rect"/>
                              <a:solidFill>
                                <a:srgbClr val="FFFFFF"/>
                              </a:solidFill>
                            </wps:spPr>
                            <wps:txbx>
                              <w:txbxContent>
                                <w:p>
                                  <w:pPr>
                                    <w:pStyle w:val="TextBody"/>
                                    <w:bidi w:val="0"/>
                                    <w:spacing w:lineRule="atLeast" w:line="18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5"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5" w:before="190" w:after="0"/>
              <w:ind w:left="185" w:right="0" w:hanging="0"/>
              <w:jc w:val="left"/>
              <w:rPr/>
            </w:pPr>
            <w:r>
              <w:rPr>
                <w:spacing w:val="-1"/>
              </w:rPr>
              <w:t>Promotes retention</w:t>
            </w:r>
            <w:r>
              <w:rPr/>
              <w:t xml:space="preserve"> </w:t>
            </w:r>
            <w:r>
              <mc:AlternateContent>
                <mc:Choice Requires="wps">
                  <w:drawing>
                    <wp:anchor behindDoc="0" distT="120650" distB="0" distL="0" distR="0" simplePos="0" locked="0" layoutInCell="1" allowOverlap="1" relativeHeight="365">
                      <wp:simplePos x="0" y="0"/>
                      <wp:positionH relativeFrom="column">
                        <wp:align>left</wp:align>
                      </wp:positionH>
                      <wp:positionV relativeFrom="line">
                        <wp:align>top</wp:align>
                      </wp:positionV>
                      <wp:extent cx="117475" cy="350520"/>
                      <wp:effectExtent l="0" t="0" r="0" b="0"/>
                      <wp:wrapSquare wrapText="right"/>
                      <wp:docPr id="337" name="Frame143"/>
                      <a:graphic xmlns:a="http://schemas.openxmlformats.org/drawingml/2006/main">
                        <a:graphicData uri="http://schemas.microsoft.com/office/word/2010/wordprocessingShape">
                          <wps:wsp>
                            <wps:cNvSpPr txBox="1"/>
                            <wps:spPr>
                              <a:xfrm>
                                <a:off x="0" y="0"/>
                                <a:ext cx="117475" cy="350520"/>
                              </a:xfrm>
                              <a:prstGeom prst="rect"/>
                              <a:solidFill>
                                <a:srgbClr val="FFFFFF"/>
                              </a:solidFill>
                            </wps:spPr>
                            <wps:txbx>
                              <w:txbxContent>
                                <w:p>
                                  <w:pPr>
                                    <w:pStyle w:val="TextBody"/>
                                    <w:bidi w:val="0"/>
                                    <w:spacing w:lineRule="atLeast" w:line="18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25pt;height:27.6pt;mso-wrap-distance-left:0pt;mso-wrap-distance-right:0pt;mso-wrap-distance-top:9.5pt;mso-wrap-distance-bottom:0pt;margin-top:9.5pt;mso-position-vertical:top;mso-position-vertical-relative:text;margin-left:0pt;mso-position-horizontal:left;mso-position-horizontal-relative:text">
                      <v:textbox>
                        <w:txbxContent>
                          <w:p>
                            <w:pPr>
                              <w:pStyle w:val="TextBody"/>
                              <w:bidi w:val="0"/>
                              <w:spacing w:lineRule="atLeast" w:line="185"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92" w:after="283"/>
        <w:ind w:left="89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Committee structured the mix of equity vehicles and the relative weight assigned to each type of award for the following reasons: 1) to motivate relative stock price outperformance over the long term through the PSUs, and 2) to ensure some amount of value delivery through the RSUs, which are complementary because they have upside potential but deliver some value even during periods of stock price underperformance, while also reinforcing an ownership culture and commitment to Coherent.</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360" w:before="280" w:after="283"/>
        <w:jc w:val="left"/>
        <w:rPr>
          <w:rFonts w:ascii="Tahoma;Geneva;sans-serif" w:hAnsi="Tahoma;Geneva;sans-serif"/>
          <w:b/>
          <w:i w:val="false"/>
          <w:caps w:val="false"/>
          <w:smallCaps w:val="false"/>
          <w:color w:val="4C4C4C"/>
          <w:sz w:val="32"/>
          <w:shd w:fill="FFFFFF" w:val="clear"/>
        </w:rPr>
      </w:pPr>
      <w:r>
        <w:rPr>
          <w:rFonts w:ascii="Tahoma;Geneva;sans-serif" w:hAnsi="Tahoma;Geneva;sans-serif"/>
          <w:b/>
          <w:i w:val="false"/>
          <w:caps w:val="false"/>
          <w:smallCaps w:val="false"/>
          <w:color w:val="4C4C4C"/>
          <w:sz w:val="32"/>
          <w:shd w:fill="FFFFFF" w:val="clear"/>
        </w:rPr>
        <w:t>LONG TERM INCENTIVE OPPORTUNITIES</w:t>
      </w:r>
      <w:r>
        <w:rPr>
          <w:rFonts w:ascii="Tahoma;Geneva;sans-serif" w:hAnsi="Tahoma;Geneva;sans-serif"/>
          <w:b/>
          <w:i w:val="false"/>
          <w:caps w:val="false"/>
          <w:smallCaps w:val="false"/>
          <w:color w:val="000000"/>
          <w:spacing w:val="6"/>
          <w:sz w:val="32"/>
          <w:shd w:fill="FFFFFF" w:val="clear"/>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Committee established fiscal year 2026’s long-term incentives for the NEOs in August 2025. In setting long-term incentive opportunities, the Committee considered the following:</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5" w:before="160"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values of, allocations to, and proportion of total compensation represented by, the long-term incentive opportunities at the peer group companies;</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01600" distB="0" distL="76200" distR="0" simplePos="0" locked="0" layoutInCell="1" allowOverlap="1" relativeHeight="366">
                <wp:simplePos x="0" y="0"/>
                <wp:positionH relativeFrom="column">
                  <wp:align>left</wp:align>
                </wp:positionH>
                <wp:positionV relativeFrom="line">
                  <wp:align>top</wp:align>
                </wp:positionV>
                <wp:extent cx="127000" cy="350520"/>
                <wp:effectExtent l="0" t="0" r="0" b="0"/>
                <wp:wrapSquare wrapText="right"/>
                <wp:docPr id="338"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8pt;mso-wrap-distance-bottom:0pt;margin-top:8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14"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individual performance and criticality of, and expected future contributions of the NEO;</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72390" distB="0" distL="76200" distR="0" simplePos="0" locked="0" layoutInCell="1" allowOverlap="1" relativeHeight="367">
                <wp:simplePos x="0" y="0"/>
                <wp:positionH relativeFrom="column">
                  <wp:align>left</wp:align>
                </wp:positionH>
                <wp:positionV relativeFrom="line">
                  <wp:align>top</wp:align>
                </wp:positionV>
                <wp:extent cx="127000" cy="350520"/>
                <wp:effectExtent l="0" t="0" r="0" b="0"/>
                <wp:wrapSquare wrapText="right"/>
                <wp:docPr id="339"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5.7pt;mso-wrap-distance-bottom:0pt;margin-top:5.7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14"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time in role, skills and experience; and</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72390" distB="0" distL="76200" distR="0" simplePos="0" locked="0" layoutInCell="1" allowOverlap="1" relativeHeight="368">
                <wp:simplePos x="0" y="0"/>
                <wp:positionH relativeFrom="column">
                  <wp:align>left</wp:align>
                </wp:positionH>
                <wp:positionV relativeFrom="line">
                  <wp:align>top</wp:align>
                </wp:positionV>
                <wp:extent cx="127000" cy="350520"/>
                <wp:effectExtent l="0" t="0" r="0" b="0"/>
                <wp:wrapSquare wrapText="right"/>
                <wp:docPr id="340"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5.7pt;mso-wrap-distance-bottom:0pt;margin-top:5.7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14"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retention considerations.</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72390" distB="0" distL="76200" distR="0" simplePos="0" locked="0" layoutInCell="1" allowOverlap="1" relativeHeight="369">
                <wp:simplePos x="0" y="0"/>
                <wp:positionH relativeFrom="column">
                  <wp:align>left</wp:align>
                </wp:positionH>
                <wp:positionV relativeFrom="line">
                  <wp:align>top</wp:align>
                </wp:positionV>
                <wp:extent cx="127000" cy="350520"/>
                <wp:effectExtent l="0" t="0" r="0" b="0"/>
                <wp:wrapSquare wrapText="right"/>
                <wp:docPr id="341"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5.7pt;mso-wrap-distance-bottom:0pt;margin-top:5.7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48</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360" w:before="120" w:after="1570"/>
        <w:ind w:left="893" w:right="40" w:hanging="0"/>
        <w:jc w:val="left"/>
        <w:rPr>
          <w:rFonts w:ascii="Tahoma;Geneva;sans-serif" w:hAnsi="Tahoma;Geneva;sans-serif"/>
          <w:b/>
          <w:i w:val="false"/>
          <w:caps w:val="false"/>
          <w:smallCaps w:val="false"/>
          <w:color w:val="4C4C4C"/>
          <w:sz w:val="32"/>
          <w:shd w:fill="FFFFFF" w:val="clear"/>
        </w:rPr>
      </w:pPr>
      <w:r>
        <w:rPr>
          <w:rFonts w:ascii="Tahoma;Geneva;sans-serif" w:hAnsi="Tahoma;Geneva;sans-serif"/>
          <w:b/>
          <w:i w:val="false"/>
          <w:caps w:val="false"/>
          <w:smallCaps w:val="false"/>
          <w:color w:val="4C4C4C"/>
          <w:sz w:val="32"/>
          <w:shd w:fill="FFFFFF" w:val="clear"/>
        </w:rPr>
        <w:t>FISCAL YEAR 2026 GRANTS OF PSUS AND RSUS</w:t>
      </w:r>
      <w:r>
        <w:rPr>
          <w:rFonts w:ascii="Tahoma;Geneva;sans-serif" w:hAnsi="Tahoma;Geneva;sans-serif"/>
          <w:b/>
          <w:i w:val="false"/>
          <w:caps w:val="false"/>
          <w:smallCaps w:val="false"/>
          <w:color w:val="000000"/>
          <w:spacing w:val="6"/>
          <w:sz w:val="32"/>
          <w:shd w:fill="FFFFFF" w:val="clear"/>
        </w:rPr>
        <w:t xml:space="preserve"> </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As described above, the Committee established the mix of equity vehicles for fiscal year 2026 as 60% PSUs / 40% RSUs for the NEOs.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To determine the target number of PSUs and RSUs, the approved target value for the long-term incentive opportunities as approved by the Committee is divided by the average closing stock price during the calendar month prior to the grant (July 2025). The resulting number of shares is then allocated between PSUs and RSUs based on the approved award mix.</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PSUs issued in fiscal year 2026 had a three-year performance period, beginning July 1, 2025 and ending June 30, 2028. The Committee approved relative Total Shareholder Return (TSR) as the performance metric for the fiscal year 2026-28 performance period, which measures Coherent’s TSR relative to companies in the S&amp;P Composite 1500 — Electronic Equipment, Instruments &amp; Components Index.</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5" w:before="204"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By comparing Coherent’s performance to that of similar companies facing comparable conditions, the metric is designed to reward NEOs for delivering shareholder returns that equal or exceed industry peers. The Committee determined to use percentile rank as it aligns with the prevailing practice among our peer group and incentivizes successful execution of strategic initiatives to achieve relative outperformance.</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29540" distB="0" distL="76200" distR="0" simplePos="0" locked="0" layoutInCell="1" allowOverlap="1" relativeHeight="370">
                <wp:simplePos x="0" y="0"/>
                <wp:positionH relativeFrom="column">
                  <wp:align>left</wp:align>
                </wp:positionH>
                <wp:positionV relativeFrom="line">
                  <wp:align>top</wp:align>
                </wp:positionV>
                <wp:extent cx="127000" cy="350520"/>
                <wp:effectExtent l="0" t="0" r="0" b="0"/>
                <wp:wrapSquare wrapText="right"/>
                <wp:docPr id="342"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10.2pt;mso-wrap-distance-bottom:0pt;margin-top:10.2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204"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Committee selected the S&amp;P Composite 1500 — Electronic Equipment, Instruments &amp; Components Index as the relevant index because it comprises a large set of comparable companies that are similar in size to Coherent.</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29540" distB="0" distL="76200" distR="0" simplePos="0" locked="0" layoutInCell="1" allowOverlap="1" relativeHeight="371">
                <wp:simplePos x="0" y="0"/>
                <wp:positionH relativeFrom="column">
                  <wp:align>left</wp:align>
                </wp:positionH>
                <wp:positionV relativeFrom="line">
                  <wp:align>top</wp:align>
                </wp:positionV>
                <wp:extent cx="127000" cy="350520"/>
                <wp:effectExtent l="0" t="0" r="0" b="0"/>
                <wp:wrapSquare wrapText="right"/>
                <wp:docPr id="343"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10.2pt;mso-wrap-distance-bottom:0pt;margin-top:10.2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actual number of PSUs earned will be determined based on Coherent’s percentile rank relative to the TSRs of the companies in the index, as outlined in the table below.</w:t>
      </w:r>
      <w:r>
        <w:rPr>
          <w:rFonts w:ascii="Arial;Helvetica;sans-serif" w:hAnsi="Arial;Helvetica;sans-serif"/>
          <w:b w:val="false"/>
          <w:i w:val="false"/>
          <w:caps w:val="false"/>
          <w:smallCaps w:val="false"/>
          <w:color w:val="000000"/>
          <w:spacing w:val="4"/>
          <w:sz w:val="19"/>
          <w:shd w:fill="FFFFFF" w:val="clear"/>
        </w:rPr>
        <w:t xml:space="preserve"> </w:t>
      </w:r>
    </w:p>
    <w:tbl>
      <w:tblPr>
        <w:tblW w:w="7120" w:type="dxa"/>
        <w:jc w:val="left"/>
        <w:tblInd w:w="893" w:type="dxa"/>
        <w:tblLayout w:type="fixed"/>
        <w:tblCellMar>
          <w:top w:w="0" w:type="dxa"/>
          <w:left w:w="0" w:type="dxa"/>
          <w:bottom w:w="0" w:type="dxa"/>
          <w:right w:w="0" w:type="dxa"/>
        </w:tblCellMar>
      </w:tblPr>
      <w:tblGrid>
        <w:gridCol w:w="124"/>
        <w:gridCol w:w="1966"/>
        <w:gridCol w:w="109"/>
        <w:gridCol w:w="109"/>
        <w:gridCol w:w="2504"/>
        <w:gridCol w:w="109"/>
        <w:gridCol w:w="109"/>
        <w:gridCol w:w="1936"/>
        <w:gridCol w:w="154"/>
      </w:tblGrid>
      <w:tr>
        <w:trPr/>
        <w:tc>
          <w:tcPr>
            <w:tcW w:w="124" w:type="dxa"/>
            <w:tcBorders/>
            <w:shd w:fill="000000" w:val="clear"/>
            <w:vAlign w:val="center"/>
          </w:tcPr>
          <w:p>
            <w:pPr>
              <w:pStyle w:val="TableContents"/>
              <w:bidi w:val="0"/>
              <w:spacing w:before="0" w:after="283"/>
              <w:jc w:val="left"/>
              <w:rPr/>
            </w:pPr>
            <w:r>
              <w:rPr/>
              <w:t>​</w:t>
            </w:r>
          </w:p>
        </w:tc>
        <w:tc>
          <w:tcPr>
            <w:tcW w:w="1966" w:type="dxa"/>
            <w:tcBorders/>
            <w:shd w:fill="000000" w:val="clear"/>
            <w:vAlign w:val="center"/>
          </w:tcPr>
          <w:p>
            <w:pPr>
              <w:pStyle w:val="TableContents"/>
              <w:bidi w:val="0"/>
              <w:spacing w:before="0" w:after="0"/>
              <w:jc w:val="left"/>
              <w:rPr/>
            </w:pPr>
            <w:r>
              <w:rPr/>
              <w:t xml:space="preserve">Performance Level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504" w:type="dxa"/>
            <w:tcBorders/>
            <w:shd w:fill="000000" w:val="clear"/>
            <w:vAlign w:val="center"/>
          </w:tcPr>
          <w:p>
            <w:pPr>
              <w:pStyle w:val="TableContents"/>
              <w:bidi w:val="0"/>
              <w:spacing w:before="0" w:after="0"/>
              <w:jc w:val="left"/>
              <w:rPr/>
            </w:pPr>
            <w:r>
              <w:rPr/>
              <w:t xml:space="preserve">TSR Percent Rank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936" w:type="dxa"/>
            <w:tcBorders/>
            <w:shd w:fill="000000" w:val="clear"/>
            <w:vAlign w:val="center"/>
          </w:tcPr>
          <w:p>
            <w:pPr>
              <w:pStyle w:val="TableContents"/>
              <w:bidi w:val="0"/>
              <w:spacing w:before="0" w:after="0"/>
              <w:jc w:val="center"/>
              <w:rPr/>
            </w:pPr>
            <w:r>
              <w:rPr/>
              <w:t xml:space="preserve">Earned Percentage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966" w:type="dxa"/>
            <w:tcBorders>
              <w:bottom w:val="single" w:sz="2" w:space="0" w:color="666666"/>
            </w:tcBorders>
            <w:tcMar>
              <w:bottom w:w="88" w:type="dxa"/>
            </w:tcMar>
            <w:vAlign w:val="center"/>
          </w:tcPr>
          <w:p>
            <w:pPr>
              <w:pStyle w:val="TableContents"/>
              <w:bidi w:val="0"/>
              <w:spacing w:before="0" w:after="0"/>
              <w:jc w:val="left"/>
              <w:rPr>
                <w:b/>
              </w:rPr>
            </w:pPr>
            <w:r>
              <w:rPr>
                <w:b/>
                <w:spacing w:val="0"/>
              </w:rPr>
              <w:t>Below Threshold</w:t>
            </w:r>
            <w:r>
              <w:rPr>
                <w:b/>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04" w:type="dxa"/>
            <w:tcBorders>
              <w:bottom w:val="single" w:sz="2" w:space="0" w:color="666666"/>
            </w:tcBorders>
            <w:tcMar>
              <w:bottom w:w="88" w:type="dxa"/>
            </w:tcMar>
            <w:vAlign w:val="center"/>
          </w:tcPr>
          <w:p>
            <w:pPr>
              <w:pStyle w:val="TableContents"/>
              <w:bidi w:val="0"/>
              <w:spacing w:before="0" w:after="283"/>
              <w:jc w:val="left"/>
              <w:rPr/>
            </w:pPr>
            <w:r>
              <w:rPr>
                <w:spacing w:val="-1"/>
              </w:rPr>
              <w:t>Below 25</w:t>
            </w:r>
            <w:r>
              <w:rPr>
                <w:spacing w:val="-1"/>
                <w:sz w:val="12"/>
              </w:rPr>
              <w:t>th</w:t>
            </w:r>
            <w:r>
              <w:rPr>
                <w:spacing w:val="-1"/>
              </w:rPr>
              <w:t xml:space="preserve"> Percentile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93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0%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966" w:type="dxa"/>
            <w:tcBorders>
              <w:bottom w:val="single" w:sz="2" w:space="0" w:color="666666"/>
            </w:tcBorders>
            <w:tcMar>
              <w:bottom w:w="88" w:type="dxa"/>
            </w:tcMar>
            <w:vAlign w:val="center"/>
          </w:tcPr>
          <w:p>
            <w:pPr>
              <w:pStyle w:val="TableContents"/>
              <w:bidi w:val="0"/>
              <w:spacing w:before="0" w:after="0"/>
              <w:jc w:val="left"/>
              <w:rPr>
                <w:b/>
              </w:rPr>
            </w:pPr>
            <w:r>
              <w:rPr>
                <w:b/>
                <w:spacing w:val="0"/>
              </w:rPr>
              <w:t>Threshold</w:t>
            </w:r>
            <w:r>
              <w:rPr>
                <w:b/>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04" w:type="dxa"/>
            <w:tcBorders>
              <w:bottom w:val="single" w:sz="2" w:space="0" w:color="666666"/>
            </w:tcBorders>
            <w:tcMar>
              <w:bottom w:w="88" w:type="dxa"/>
            </w:tcMar>
            <w:vAlign w:val="center"/>
          </w:tcPr>
          <w:p>
            <w:pPr>
              <w:pStyle w:val="TableContents"/>
              <w:bidi w:val="0"/>
              <w:spacing w:before="0" w:after="283"/>
              <w:jc w:val="left"/>
              <w:rPr/>
            </w:pPr>
            <w:r>
              <w:rPr>
                <w:spacing w:val="-1"/>
              </w:rPr>
              <w:t>25</w:t>
            </w:r>
            <w:r>
              <w:rPr>
                <w:spacing w:val="-1"/>
                <w:sz w:val="12"/>
              </w:rPr>
              <w:t>th</w:t>
            </w:r>
            <w:r>
              <w:rPr>
                <w:spacing w:val="-1"/>
              </w:rPr>
              <w:t xml:space="preserve"> Percentile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93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50%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966" w:type="dxa"/>
            <w:tcBorders>
              <w:bottom w:val="single" w:sz="2" w:space="0" w:color="666666"/>
            </w:tcBorders>
            <w:tcMar>
              <w:bottom w:w="88" w:type="dxa"/>
            </w:tcMar>
            <w:vAlign w:val="center"/>
          </w:tcPr>
          <w:p>
            <w:pPr>
              <w:pStyle w:val="TableContents"/>
              <w:bidi w:val="0"/>
              <w:spacing w:before="0" w:after="0"/>
              <w:jc w:val="left"/>
              <w:rPr>
                <w:b/>
              </w:rPr>
            </w:pPr>
            <w:r>
              <w:rPr>
                <w:b/>
                <w:spacing w:val="0"/>
              </w:rPr>
              <w:t>Target</w:t>
            </w:r>
            <w:r>
              <w:rPr>
                <w:b/>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04" w:type="dxa"/>
            <w:tcBorders>
              <w:bottom w:val="single" w:sz="2" w:space="0" w:color="666666"/>
            </w:tcBorders>
            <w:tcMar>
              <w:bottom w:w="88" w:type="dxa"/>
            </w:tcMar>
            <w:vAlign w:val="center"/>
          </w:tcPr>
          <w:p>
            <w:pPr>
              <w:pStyle w:val="TableContents"/>
              <w:bidi w:val="0"/>
              <w:spacing w:before="0" w:after="283"/>
              <w:jc w:val="left"/>
              <w:rPr/>
            </w:pPr>
            <w:r>
              <w:rPr>
                <w:spacing w:val="-1"/>
              </w:rPr>
              <w:t>50</w:t>
            </w:r>
            <w:r>
              <w:rPr>
                <w:spacing w:val="-1"/>
                <w:sz w:val="12"/>
              </w:rPr>
              <w:t>th</w:t>
            </w:r>
            <w:r>
              <w:rPr>
                <w:spacing w:val="-1"/>
              </w:rPr>
              <w:t xml:space="preserve"> Percentile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93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100%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966" w:type="dxa"/>
            <w:tcBorders>
              <w:bottom w:val="single" w:sz="2" w:space="0" w:color="666666"/>
            </w:tcBorders>
            <w:tcMar>
              <w:bottom w:w="88" w:type="dxa"/>
            </w:tcMar>
            <w:vAlign w:val="center"/>
          </w:tcPr>
          <w:p>
            <w:pPr>
              <w:pStyle w:val="TableContents"/>
              <w:bidi w:val="0"/>
              <w:spacing w:before="0" w:after="0"/>
              <w:jc w:val="left"/>
              <w:rPr>
                <w:b/>
              </w:rPr>
            </w:pPr>
            <w:r>
              <w:rPr>
                <w:b/>
                <w:spacing w:val="0"/>
              </w:rPr>
              <w:t>Maximum</w:t>
            </w:r>
            <w:r>
              <w:rPr>
                <w:b/>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504" w:type="dxa"/>
            <w:tcBorders>
              <w:bottom w:val="single" w:sz="2" w:space="0" w:color="666666"/>
            </w:tcBorders>
            <w:tcMar>
              <w:bottom w:w="88" w:type="dxa"/>
            </w:tcMar>
            <w:vAlign w:val="center"/>
          </w:tcPr>
          <w:p>
            <w:pPr>
              <w:pStyle w:val="TableContents"/>
              <w:bidi w:val="0"/>
              <w:spacing w:before="0" w:after="283"/>
              <w:jc w:val="left"/>
              <w:rPr/>
            </w:pPr>
            <w:r>
              <w:rPr>
                <w:spacing w:val="-1"/>
              </w:rPr>
              <w:t>75</w:t>
            </w:r>
            <w:r>
              <w:rPr>
                <w:spacing w:val="-1"/>
                <w:sz w:val="12"/>
              </w:rPr>
              <w:t>th</w:t>
            </w:r>
            <w:r>
              <w:rPr>
                <w:spacing w:val="-1"/>
              </w:rPr>
              <w:t xml:space="preserve"> Percentile and above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936" w:type="dxa"/>
            <w:tcBorders>
              <w:bottom w:val="single" w:sz="2" w:space="0" w:color="666666"/>
            </w:tcBorders>
            <w:tcMar>
              <w:bottom w:w="88" w:type="dxa"/>
            </w:tcMar>
            <w:vAlign w:val="center"/>
          </w:tcPr>
          <w:p>
            <w:pPr>
              <w:pStyle w:val="TableContents"/>
              <w:bidi w:val="0"/>
              <w:spacing w:before="0" w:after="0"/>
              <w:jc w:val="center"/>
              <w:rPr/>
            </w:pPr>
            <w:r>
              <w:rPr>
                <w:spacing w:val="-1"/>
              </w:rPr>
              <w:t>200%</w:t>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lineRule="atLeast" w:line="260" w:before="344" w:after="283"/>
        <w:ind w:left="89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Linear interpolation will be used to determine payout levels if the actual performance falls between threshold and target performance levels and target and maximum. To achieve a threshold payout, TSR must rank at or above the 25</w:t>
      </w:r>
      <w:r>
        <w:rPr>
          <w:rFonts w:ascii="Arial;Helvetica;sans-serif" w:hAnsi="Arial;Helvetica;sans-serif"/>
          <w:b w:val="false"/>
          <w:i w:val="false"/>
          <w:caps w:val="false"/>
          <w:smallCaps w:val="false"/>
          <w:color w:val="000000"/>
          <w:spacing w:val="-1"/>
          <w:sz w:val="14"/>
          <w:shd w:fill="FFFFFF" w:val="clear"/>
        </w:rPr>
        <w:t>th</w:t>
      </w:r>
      <w:r>
        <w:rPr>
          <w:rFonts w:ascii="Arial;Helvetica;sans-serif" w:hAnsi="Arial;Helvetica;sans-serif"/>
          <w:b w:val="false"/>
          <w:i w:val="false"/>
          <w:caps w:val="false"/>
          <w:smallCaps w:val="false"/>
          <w:color w:val="000000"/>
          <w:spacing w:val="-1"/>
          <w:sz w:val="19"/>
          <w:shd w:fill="FFFFFF" w:val="clear"/>
        </w:rPr>
        <w:t xml:space="preserve"> percentile. The number of PSUs earned is capped at 100% of target if Coherent’s absolute TSR is negative, regardless of relative performance.</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Committee views the use of the TSR metric as appropriate, as it directly links executive compensation to shareholder value creation and aligns the interests of executive officers with those of Coherent and its shareholders. It also ensures that PSUs are more closely tied to performance across varying economic cycles.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PSUs cliff vest at the end of the three-year performance period, without interim vesting opportunities. The RSUs vest one-third (1/3) on the first anniversary of the grant date with the remainder vesting ratably over the following eight quarters.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49</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360" w:before="120" w:after="1393"/>
        <w:ind w:left="893" w:right="40" w:hanging="0"/>
        <w:jc w:val="left"/>
        <w:rPr>
          <w:rFonts w:ascii="Tahoma;Geneva;sans-serif" w:hAnsi="Tahoma;Geneva;sans-serif"/>
          <w:b/>
          <w:i w:val="false"/>
          <w:caps w:val="false"/>
          <w:smallCaps w:val="false"/>
          <w:color w:val="4C4C4C"/>
          <w:sz w:val="32"/>
          <w:shd w:fill="FFFFFF" w:val="clear"/>
        </w:rPr>
      </w:pPr>
      <w:r>
        <w:rPr>
          <w:rFonts w:ascii="Tahoma;Geneva;sans-serif" w:hAnsi="Tahoma;Geneva;sans-serif"/>
          <w:b/>
          <w:i w:val="false"/>
          <w:caps w:val="false"/>
          <w:smallCaps w:val="false"/>
          <w:color w:val="4C4C4C"/>
          <w:sz w:val="32"/>
          <w:shd w:fill="FFFFFF" w:val="clear"/>
        </w:rPr>
        <w:t>FISCAL YEAR 2026 GRANTS</w:t>
      </w:r>
      <w:r>
        <w:rPr>
          <w:rFonts w:ascii="Tahoma;Geneva;sans-serif" w:hAnsi="Tahoma;Geneva;sans-serif"/>
          <w:b/>
          <w:i w:val="false"/>
          <w:caps w:val="false"/>
          <w:smallCaps w:val="false"/>
          <w:color w:val="000000"/>
          <w:spacing w:val="6"/>
          <w:sz w:val="32"/>
          <w:shd w:fill="FFFFFF" w:val="clear"/>
        </w:rPr>
        <w:t xml:space="preserve"> </w:t>
      </w:r>
    </w:p>
    <w:tbl>
      <w:tblPr>
        <w:tblW w:w="9102" w:type="dxa"/>
        <w:jc w:val="left"/>
        <w:tblInd w:w="893" w:type="dxa"/>
        <w:tblLayout w:type="fixed"/>
        <w:tblCellMar>
          <w:top w:w="0" w:type="dxa"/>
          <w:left w:w="0" w:type="dxa"/>
          <w:bottom w:w="0" w:type="dxa"/>
          <w:right w:w="0" w:type="dxa"/>
        </w:tblCellMar>
      </w:tblPr>
      <w:tblGrid>
        <w:gridCol w:w="124"/>
        <w:gridCol w:w="2326"/>
        <w:gridCol w:w="109"/>
        <w:gridCol w:w="109"/>
        <w:gridCol w:w="1411"/>
        <w:gridCol w:w="109"/>
        <w:gridCol w:w="109"/>
        <w:gridCol w:w="1118"/>
        <w:gridCol w:w="109"/>
        <w:gridCol w:w="109"/>
        <w:gridCol w:w="940"/>
        <w:gridCol w:w="109"/>
        <w:gridCol w:w="109"/>
        <w:gridCol w:w="1118"/>
        <w:gridCol w:w="109"/>
        <w:gridCol w:w="109"/>
        <w:gridCol w:w="821"/>
        <w:gridCol w:w="154"/>
      </w:tblGrid>
      <w:tr>
        <w:trPr/>
        <w:tc>
          <w:tcPr>
            <w:tcW w:w="124" w:type="dxa"/>
            <w:tcBorders/>
            <w:shd w:fill="000000" w:val="clear"/>
            <w:vAlign w:val="center"/>
          </w:tcPr>
          <w:p>
            <w:pPr>
              <w:pStyle w:val="TableContents"/>
              <w:bidi w:val="0"/>
              <w:spacing w:before="0" w:after="283"/>
              <w:jc w:val="left"/>
              <w:rPr/>
            </w:pPr>
            <w:r>
              <w:rPr/>
              <w:t>​</w:t>
            </w:r>
          </w:p>
        </w:tc>
        <w:tc>
          <w:tcPr>
            <w:tcW w:w="2326" w:type="dxa"/>
            <w:tcBorders/>
            <w:shd w:fill="000000" w:val="clear"/>
            <w:vAlign w:val="center"/>
          </w:tcPr>
          <w:p>
            <w:pPr>
              <w:pStyle w:val="TableContents"/>
              <w:bidi w:val="0"/>
              <w:spacing w:before="0" w:after="0"/>
              <w:jc w:val="left"/>
              <w:rPr/>
            </w:pPr>
            <w:r>
              <w:rPr/>
              <w:t xml:space="preserve">NEO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11" w:type="dxa"/>
            <w:tcBorders/>
            <w:shd w:fill="000000" w:val="clear"/>
            <w:vAlign w:val="center"/>
          </w:tcPr>
          <w:p>
            <w:pPr>
              <w:pStyle w:val="TableContents"/>
              <w:bidi w:val="0"/>
              <w:spacing w:lineRule="atLeast" w:line="142" w:before="0" w:after="0"/>
              <w:jc w:val="center"/>
              <w:rPr/>
            </w:pPr>
            <w:r>
              <w:rPr/>
              <w:t>Target Value</w:t>
            </w:r>
            <w:r>
              <w:rPr>
                <w:sz w:val="10"/>
              </w:rPr>
              <w:t>2</w:t>
            </w:r>
            <w:r>
              <w:rPr/>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18" w:type="dxa"/>
            <w:tcBorders/>
            <w:shd w:fill="000000" w:val="clear"/>
            <w:vAlign w:val="center"/>
          </w:tcPr>
          <w:p>
            <w:pPr>
              <w:pStyle w:val="TableContents"/>
              <w:bidi w:val="0"/>
              <w:spacing w:before="0" w:after="0"/>
              <w:jc w:val="center"/>
              <w:rPr/>
            </w:pPr>
            <w:r>
              <w:rPr/>
              <w:t>PSUs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940" w:type="dxa"/>
            <w:tcBorders/>
            <w:shd w:fill="000000" w:val="clear"/>
            <w:vAlign w:val="center"/>
          </w:tcPr>
          <w:p>
            <w:pPr>
              <w:pStyle w:val="TableContents"/>
              <w:bidi w:val="0"/>
              <w:spacing w:before="0" w:after="0"/>
              <w:jc w:val="center"/>
              <w:rPr/>
            </w:pPr>
            <w:r>
              <w:rPr/>
              <w:t>PSUs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18" w:type="dxa"/>
            <w:tcBorders/>
            <w:shd w:fill="000000" w:val="clear"/>
            <w:vAlign w:val="center"/>
          </w:tcPr>
          <w:p>
            <w:pPr>
              <w:pStyle w:val="TableContents"/>
              <w:bidi w:val="0"/>
              <w:spacing w:before="0" w:after="0"/>
              <w:jc w:val="center"/>
              <w:rPr/>
            </w:pPr>
            <w:r>
              <w:rPr/>
              <w:t>RSUs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21" w:type="dxa"/>
            <w:tcBorders/>
            <w:shd w:fill="000000" w:val="clear"/>
            <w:vAlign w:val="center"/>
          </w:tcPr>
          <w:p>
            <w:pPr>
              <w:pStyle w:val="TableContents"/>
              <w:bidi w:val="0"/>
              <w:spacing w:before="0" w:after="0"/>
              <w:jc w:val="center"/>
              <w:rPr/>
            </w:pPr>
            <w:r>
              <w:rPr/>
              <w:t>RSUs</w:t>
              <w:br/>
              <w:t xml:space="preserve">(#)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326" w:type="dxa"/>
            <w:tcBorders>
              <w:bottom w:val="single" w:sz="2" w:space="0" w:color="666666"/>
            </w:tcBorders>
            <w:tcMar>
              <w:bottom w:w="88" w:type="dxa"/>
            </w:tcMar>
            <w:vAlign w:val="center"/>
          </w:tcPr>
          <w:p>
            <w:pPr>
              <w:pStyle w:val="TableContents"/>
              <w:bidi w:val="0"/>
              <w:spacing w:before="0" w:after="0"/>
              <w:jc w:val="left"/>
              <w:rPr>
                <w:b/>
                <w:spacing w:val="0"/>
              </w:rPr>
            </w:pPr>
            <w:r>
              <w:rPr>
                <w:b/>
                <w:spacing w:val="0"/>
              </w:rPr>
              <w:t xml:space="preserve">Jim Anderson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1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16,500,000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18"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9,900,000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40"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102,199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18"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6,600,000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2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68,133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326" w:type="dxa"/>
            <w:tcBorders>
              <w:bottom w:val="single" w:sz="2" w:space="0" w:color="666666"/>
            </w:tcBorders>
            <w:tcMar>
              <w:bottom w:w="88" w:type="dxa"/>
            </w:tcMar>
            <w:vAlign w:val="center"/>
          </w:tcPr>
          <w:p>
            <w:pPr>
              <w:pStyle w:val="TableContents"/>
              <w:bidi w:val="0"/>
              <w:spacing w:before="0" w:after="0"/>
              <w:jc w:val="left"/>
              <w:rPr>
                <w:b/>
                <w:spacing w:val="0"/>
              </w:rPr>
            </w:pPr>
            <w:r>
              <w:rPr>
                <w:b/>
                <w:spacing w:val="0"/>
              </w:rPr>
              <w:t xml:space="preserve">Sherri Luther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1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3,800,000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18"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2,280,000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40"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23,537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18"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1,520,000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2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15,692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326" w:type="dxa"/>
            <w:tcBorders>
              <w:bottom w:val="single" w:sz="2" w:space="0" w:color="666666"/>
            </w:tcBorders>
            <w:tcMar>
              <w:bottom w:w="88" w:type="dxa"/>
            </w:tcMar>
            <w:vAlign w:val="center"/>
          </w:tcPr>
          <w:p>
            <w:pPr>
              <w:pStyle w:val="TableContents"/>
              <w:bidi w:val="0"/>
              <w:spacing w:before="0" w:after="0"/>
              <w:jc w:val="left"/>
              <w:rPr>
                <w:b/>
                <w:spacing w:val="0"/>
              </w:rPr>
            </w:pPr>
            <w:r>
              <w:rPr>
                <w:b/>
                <w:spacing w:val="0"/>
              </w:rPr>
              <w:t xml:space="preserve">Rob Beard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1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3,500,000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18"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2,100,000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40"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21,679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18"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1,400,000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2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14,453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326" w:type="dxa"/>
            <w:tcBorders>
              <w:bottom w:val="single" w:sz="2" w:space="0" w:color="666666"/>
            </w:tcBorders>
            <w:tcMar>
              <w:bottom w:w="88" w:type="dxa"/>
            </w:tcMar>
            <w:vAlign w:val="center"/>
          </w:tcPr>
          <w:p>
            <w:pPr>
              <w:pStyle w:val="TableContents"/>
              <w:bidi w:val="0"/>
              <w:spacing w:before="0" w:after="0"/>
              <w:jc w:val="left"/>
              <w:rPr>
                <w:b/>
              </w:rPr>
            </w:pPr>
            <w:r>
              <w:rPr>
                <w:b/>
                <w:spacing w:val="0"/>
              </w:rPr>
              <w:t>Julie Eng</w:t>
            </w:r>
            <w:r>
              <w:rPr>
                <w:b/>
                <w:spacing w:val="-2"/>
                <w:sz w:val="12"/>
              </w:rPr>
              <w:t>1</w:t>
            </w:r>
            <w:r>
              <w:rPr>
                <w:b/>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1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8,500,000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18"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7,100,000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40"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73,295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18"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1,400,000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2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14,453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326" w:type="dxa"/>
            <w:tcBorders>
              <w:bottom w:val="single" w:sz="2" w:space="0" w:color="666666"/>
            </w:tcBorders>
            <w:tcMar>
              <w:bottom w:w="88" w:type="dxa"/>
            </w:tcMar>
            <w:vAlign w:val="center"/>
          </w:tcPr>
          <w:p>
            <w:pPr>
              <w:pStyle w:val="TableContents"/>
              <w:bidi w:val="0"/>
              <w:spacing w:before="0" w:after="0"/>
              <w:jc w:val="left"/>
              <w:rPr>
                <w:b/>
                <w:spacing w:val="0"/>
              </w:rPr>
            </w:pPr>
            <w:r>
              <w:rPr>
                <w:b/>
                <w:spacing w:val="0"/>
              </w:rPr>
              <w:t xml:space="preserve">Jeffrey Place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1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4,000,000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18"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2,400,000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40"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24,776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18"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1,600,000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2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19,525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326" w:type="dxa"/>
            <w:tcBorders>
              <w:bottom w:val="single" w:sz="2" w:space="0" w:color="666666"/>
            </w:tcBorders>
            <w:tcMar>
              <w:bottom w:w="88" w:type="dxa"/>
            </w:tcMar>
            <w:vAlign w:val="center"/>
          </w:tcPr>
          <w:p>
            <w:pPr>
              <w:pStyle w:val="TableContents"/>
              <w:bidi w:val="0"/>
              <w:spacing w:before="0" w:after="0"/>
              <w:jc w:val="left"/>
              <w:rPr>
                <w:b/>
                <w:spacing w:val="0"/>
              </w:rPr>
            </w:pPr>
            <w:r>
              <w:rPr>
                <w:b/>
                <w:spacing w:val="0"/>
              </w:rPr>
              <w:t xml:space="preserve">Giovanni Barbarossa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1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2,800,000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18"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1,680,000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40"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17,343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18"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1,120,000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21" w:type="dxa"/>
            <w:tcBorders>
              <w:bottom w:val="single" w:sz="2" w:space="0" w:color="666666"/>
            </w:tcBorders>
            <w:tcMar>
              <w:bottom w:w="88" w:type="dxa"/>
            </w:tcMar>
            <w:vAlign w:val="center"/>
          </w:tcPr>
          <w:p>
            <w:pPr>
              <w:pStyle w:val="TableContents"/>
              <w:bidi w:val="0"/>
              <w:spacing w:before="0" w:after="0"/>
              <w:jc w:val="center"/>
              <w:rPr/>
            </w:pPr>
            <w:r>
              <w:rPr>
                <w:spacing w:val="-1"/>
              </w:rPr>
              <w:t>11,562</w:t>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224" w:after="0"/>
        <w:ind w:left="113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Includes a one-time performance-based retention award valued at $5,000,000 for Dr. Eng as further described below.</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142240" distB="0" distL="0" distR="0" simplePos="0" locked="0" layoutInCell="1" allowOverlap="1" relativeHeight="372">
                <wp:simplePos x="0" y="0"/>
                <wp:positionH relativeFrom="column">
                  <wp:align>left</wp:align>
                </wp:positionH>
                <wp:positionV relativeFrom="line">
                  <wp:align>top</wp:align>
                </wp:positionV>
                <wp:extent cx="152400" cy="204470"/>
                <wp:effectExtent l="0" t="0" r="0" b="0"/>
                <wp:wrapSquare wrapText="right"/>
                <wp:docPr id="344" name="Frame150"/>
                <a:graphic xmlns:a="http://schemas.openxmlformats.org/drawingml/2006/main">
                  <a:graphicData uri="http://schemas.microsoft.com/office/word/2010/wordprocessingShape">
                    <wps:wsp>
                      <wps:cNvSpPr txBox="1"/>
                      <wps:spPr>
                        <a:xfrm>
                          <a:off x="0" y="0"/>
                          <a:ext cx="152400" cy="204470"/>
                        </a:xfrm>
                        <a:prstGeom prst="rect"/>
                        <a:solidFill>
                          <a:srgbClr val="FFFFFF"/>
                        </a:solidFill>
                      </wps:spPr>
                      <wps:txbx>
                        <w:txbxContent>
                          <w:p>
                            <w:pPr>
                              <w:pStyle w:val="TextBody"/>
                              <w:bidi w:val="0"/>
                              <w:spacing w:before="0" w:after="283"/>
                              <w:jc w:val="left"/>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12pt;height:16.1pt;mso-wrap-distance-left:0pt;mso-wrap-distance-right:0pt;mso-wrap-distance-top:11.2pt;mso-wrap-distance-bottom:0pt;margin-top:11.2pt;mso-position-vertical:top;mso-position-vertical-relative:text;margin-left:0pt;mso-position-horizontal:left;mso-position-horizontal-relative:text">
                <v:textbox>
                  <w:txbxContent>
                    <w:p>
                      <w:pPr>
                        <w:pStyle w:val="TextBody"/>
                        <w:bidi w:val="0"/>
                        <w:spacing w:before="0" w:after="283"/>
                        <w:jc w:val="left"/>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104" w:after="0"/>
        <w:ind w:left="113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Represents the amounts approved and intended by the Committee, which differ from the grant date fair value reflected in the summary compensation table. The grant date fair value reflected in the summary compensation table is based on the thirty-day trailing average closing price for RSUs and a Monte Carlo simulation calculated in accordance with FASB ASC Topic 718 for PSUs.</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66040" distB="0" distL="0" distR="0" simplePos="0" locked="0" layoutInCell="1" allowOverlap="1" relativeHeight="373">
                <wp:simplePos x="0" y="0"/>
                <wp:positionH relativeFrom="column">
                  <wp:align>left</wp:align>
                </wp:positionH>
                <wp:positionV relativeFrom="line">
                  <wp:align>top</wp:align>
                </wp:positionV>
                <wp:extent cx="152400" cy="228600"/>
                <wp:effectExtent l="0" t="0" r="0" b="0"/>
                <wp:wrapSquare wrapText="right"/>
                <wp:docPr id="345" name="Frame151"/>
                <a:graphic xmlns:a="http://schemas.openxmlformats.org/drawingml/2006/main">
                  <a:graphicData uri="http://schemas.microsoft.com/office/word/2010/wordprocessingShape">
                    <wps:wsp>
                      <wps:cNvSpPr txBox="1"/>
                      <wps:spPr>
                        <a:xfrm>
                          <a:off x="0" y="0"/>
                          <a:ext cx="1524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2.</w:t>
                            </w:r>
                            <w:r>
                              <w:rPr>
                                <w:sz w:val="14"/>
                              </w:rPr>
                              <w:t xml:space="preserve"> </w:t>
                              <w:br/>
                            </w:r>
                          </w:p>
                        </w:txbxContent>
                      </wps:txbx>
                      <wps:bodyPr anchor="t" lIns="0" tIns="0" rIns="0" bIns="0">
                        <a:noAutofit/>
                      </wps:bodyPr>
                    </wps:wsp>
                  </a:graphicData>
                </a:graphic>
              </wp:anchor>
            </w:drawing>
          </mc:Choice>
          <mc:Fallback>
            <w:pict>
              <v:rect style="position:absolute;rotation:-0;width:12pt;height:18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2.</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0" w:before="244" w:after="283"/>
        <w:jc w:val="left"/>
        <w:rPr>
          <w:rFonts w:ascii="Arial;Helvetica;sans-serif" w:hAnsi="Arial;Helvetica;sans-serif"/>
          <w:b w:val="false"/>
          <w:i/>
          <w:caps w:val="false"/>
          <w:smallCaps w:val="false"/>
          <w:color w:val="000000"/>
          <w:sz w:val="19"/>
          <w:shd w:fill="FFFFFF" w:val="clear"/>
        </w:rPr>
      </w:pPr>
      <w:r>
        <w:rPr>
          <w:rFonts w:ascii="Arial;Helvetica;sans-serif" w:hAnsi="Arial;Helvetica;sans-serif"/>
          <w:b w:val="false"/>
          <w:i/>
          <w:caps w:val="false"/>
          <w:smallCaps w:val="false"/>
          <w:color w:val="000000"/>
          <w:sz w:val="19"/>
          <w:u w:val="single"/>
          <w:shd w:fill="FFFFFF" w:val="clear"/>
        </w:rPr>
        <w:t>Special Performance-Based Retention Award for Dr. Eng</w:t>
      </w:r>
      <w:r>
        <w:rPr>
          <w:rFonts w:ascii="Arial;Helvetica;sans-serif" w:hAnsi="Arial;Helvetica;sans-serif"/>
          <w:b w:val="false"/>
          <w:i/>
          <w:caps w:val="false"/>
          <w:smallCaps w:val="false"/>
          <w:color w:val="000000"/>
          <w:spacing w:val="4"/>
          <w:sz w:val="19"/>
          <w:shd w:fill="FFFFFF" w:val="clear"/>
        </w:rPr>
        <w:t xml:space="preserve"> </w:t>
      </w:r>
    </w:p>
    <w:p>
      <w:pPr>
        <w:pStyle w:val="TextBody"/>
        <w:bidi w:val="0"/>
        <w:spacing w:lineRule="atLeast" w:line="260" w:before="274"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In August 2025, the Committee approved a one-time special retention award for Dr. Eng, with a grant-date fair value of $5.0 million. The award consists entirely of performance-based stock units that can be earned in August 2028, subject to achievement of the applicable performance objectives and Dr. Eng’s continued employment through the vesting date. The award was designed to reinforce Dr. Eng’s continued leadership of critical technology initiatives and commercialization priorities as Coherent continues to develop and commercialize key products in its technology portfolio. Fifty percent of the award is tied to the public demonstration of specific products by the end of calendar 2026, with the remaining 50% tied to the commercialization of the same products by the end of calendar 2027. The rigorous, time-bound objectives directly support Coherent’s technology roadmap and commercialization priorities.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60" w:before="274"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In approving the award, the Committee considered Dr. Eng’s critical role in advancing Coherent’s technology roadmap, and the importance of retaining her leadership through the pivotal milestones. The Committee also considered the strong external demand and career opportunities available for proven technology leaders with expertise in AI infrastructure and optical networking. The Committee determined that this targeted, performance-based retention opportunity was reasonable, appropriately supporting leadership continuity and aligning Dr. Eng’s interests with the achievement of these critical technical and commercial milestones.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360" w:before="374" w:after="283"/>
        <w:jc w:val="left"/>
        <w:rPr>
          <w:rFonts w:ascii="Tahoma;Geneva;sans-serif" w:hAnsi="Tahoma;Geneva;sans-serif"/>
          <w:b/>
          <w:i w:val="false"/>
          <w:caps w:val="false"/>
          <w:smallCaps w:val="false"/>
          <w:color w:val="4C4C4C"/>
          <w:sz w:val="32"/>
          <w:shd w:fill="FFFFFF" w:val="clear"/>
        </w:rPr>
      </w:pPr>
      <w:r>
        <w:rPr>
          <w:rFonts w:ascii="Tahoma;Geneva;sans-serif" w:hAnsi="Tahoma;Geneva;sans-serif"/>
          <w:b/>
          <w:i w:val="false"/>
          <w:caps w:val="false"/>
          <w:smallCaps w:val="false"/>
          <w:color w:val="4C4C4C"/>
          <w:sz w:val="32"/>
          <w:shd w:fill="FFFFFF" w:val="clear"/>
        </w:rPr>
        <w:t>FISCAL YEAR 2024-2026 PSUs</w:t>
      </w:r>
      <w:r>
        <w:rPr>
          <w:rFonts w:ascii="Tahoma;Geneva;sans-serif" w:hAnsi="Tahoma;Geneva;sans-serif"/>
          <w:b/>
          <w:i w:val="false"/>
          <w:caps w:val="false"/>
          <w:smallCaps w:val="false"/>
          <w:color w:val="000000"/>
          <w:spacing w:val="6"/>
          <w:sz w:val="32"/>
          <w:shd w:fill="FFFFFF" w:val="clear"/>
        </w:rPr>
        <w:t xml:space="preserve"> </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In fiscal year 2024, the Committee granted PSUs with performance-based vesting requirements for the three-year performance period encompassing fiscal years 2024-2026. The fiscal year 2024 PSUs were based on two performance metrics; fifty percent (50%) based on cumulative Relative TSR and fifty percent (50%) based on cash flow from operations. The comparator group for the Relative TSR PSUs was the S&amp;P Composite 1500 — Electronic Equipment, Instruments &amp; Components (Industry) Index. Cash flow from Operations was measured as reported in the Company’s financial statements for the three-year performance period.</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50</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7026"/>
        <w:gridCol w:w="109"/>
        <w:gridCol w:w="109"/>
        <w:gridCol w:w="1749"/>
        <w:gridCol w:w="155"/>
      </w:tblGrid>
      <w:tr>
        <w:trPr/>
        <w:tc>
          <w:tcPr>
            <w:tcW w:w="124" w:type="dxa"/>
            <w:tcBorders/>
            <w:shd w:fill="000000" w:val="clear"/>
            <w:vAlign w:val="center"/>
          </w:tcPr>
          <w:p>
            <w:pPr>
              <w:pStyle w:val="TableContents"/>
              <w:bidi w:val="0"/>
              <w:spacing w:before="0" w:after="283"/>
              <w:jc w:val="left"/>
              <w:rPr/>
            </w:pPr>
            <w:r>
              <w:rPr/>
              <w:t>​</w:t>
            </w:r>
          </w:p>
        </w:tc>
        <w:tc>
          <w:tcPr>
            <w:tcW w:w="7026" w:type="dxa"/>
            <w:tcBorders/>
            <w:shd w:fill="000000" w:val="clear"/>
            <w:vAlign w:val="center"/>
          </w:tcPr>
          <w:p>
            <w:pPr>
              <w:pStyle w:val="TableContents"/>
              <w:bidi w:val="0"/>
              <w:spacing w:before="0" w:after="0"/>
              <w:jc w:val="left"/>
              <w:rPr/>
            </w:pPr>
            <w:r>
              <w:rPr/>
              <w:t xml:space="preserve">Cumulative rTSR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49" w:type="dxa"/>
            <w:tcBorders/>
            <w:shd w:fill="000000" w:val="clear"/>
            <w:vAlign w:val="center"/>
          </w:tcPr>
          <w:p>
            <w:pPr>
              <w:pStyle w:val="TableContents"/>
              <w:bidi w:val="0"/>
              <w:spacing w:before="0" w:after="0"/>
              <w:jc w:val="center"/>
              <w:rPr/>
            </w:pPr>
            <w:r>
              <w:rPr/>
              <w:t xml:space="preserve">Payout vs. Target </w:t>
            </w:r>
          </w:p>
        </w:tc>
        <w:tc>
          <w:tcPr>
            <w:tcW w:w="155"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7026" w:type="dxa"/>
            <w:tcBorders>
              <w:bottom w:val="single" w:sz="2" w:space="0" w:color="666666"/>
            </w:tcBorders>
            <w:tcMar>
              <w:bottom w:w="64" w:type="dxa"/>
            </w:tcMar>
            <w:vAlign w:val="center"/>
          </w:tcPr>
          <w:p>
            <w:pPr>
              <w:pStyle w:val="TableContents"/>
              <w:bidi w:val="0"/>
              <w:spacing w:before="0" w:after="283"/>
              <w:jc w:val="left"/>
              <w:rPr/>
            </w:pPr>
            <w:r>
              <w:rPr>
                <w:spacing w:val="-1"/>
              </w:rPr>
              <w:t xml:space="preserve">Below the </w:t>
            </w:r>
            <w:r>
              <w:rPr>
                <w:i/>
              </w:rPr>
              <w:t>S&amp;P Composite 1500 – Electronic Equipment, Instruments &amp; Components</w:t>
            </w:r>
            <w:r>
              <w:rPr>
                <w:spacing w:val="-1"/>
              </w:rPr>
              <w:t xml:space="preserve"> 25th percentile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749" w:type="dxa"/>
            <w:tcBorders>
              <w:bottom w:val="single" w:sz="2" w:space="0" w:color="666666"/>
            </w:tcBorders>
            <w:tcMar>
              <w:bottom w:w="64" w:type="dxa"/>
            </w:tcMar>
            <w:vAlign w:val="center"/>
          </w:tcPr>
          <w:p>
            <w:pPr>
              <w:pStyle w:val="TableContents"/>
              <w:bidi w:val="0"/>
              <w:spacing w:before="0" w:after="0"/>
              <w:jc w:val="center"/>
              <w:rPr>
                <w:spacing w:val="-1"/>
              </w:rPr>
            </w:pPr>
            <w:r>
              <w:rPr>
                <w:spacing w:val="-1"/>
              </w:rPr>
              <w:t xml:space="preserve">0%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7026" w:type="dxa"/>
            <w:tcBorders>
              <w:bottom w:val="single" w:sz="2" w:space="0" w:color="666666"/>
            </w:tcBorders>
            <w:tcMar>
              <w:bottom w:w="64" w:type="dxa"/>
            </w:tcMar>
            <w:vAlign w:val="center"/>
          </w:tcPr>
          <w:p>
            <w:pPr>
              <w:pStyle w:val="TableContents"/>
              <w:bidi w:val="0"/>
              <w:spacing w:before="0" w:after="283"/>
              <w:jc w:val="left"/>
              <w:rPr/>
            </w:pPr>
            <w:r>
              <w:rPr>
                <w:spacing w:val="-1"/>
              </w:rPr>
              <w:t xml:space="preserve">Between </w:t>
            </w:r>
            <w:r>
              <w:rPr>
                <w:i/>
              </w:rPr>
              <w:t>S&amp;P Composite 1500 – Electronic Equipment, Instruments &amp; Components</w:t>
            </w:r>
            <w:r>
              <w:rPr>
                <w:spacing w:val="-1"/>
              </w:rPr>
              <w:t xml:space="preserve"> 25th to 50th percentile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749" w:type="dxa"/>
            <w:tcBorders>
              <w:bottom w:val="single" w:sz="2" w:space="0" w:color="666666"/>
            </w:tcBorders>
            <w:tcMar>
              <w:bottom w:w="64" w:type="dxa"/>
            </w:tcMar>
            <w:vAlign w:val="center"/>
          </w:tcPr>
          <w:p>
            <w:pPr>
              <w:pStyle w:val="TableContents"/>
              <w:bidi w:val="0"/>
              <w:spacing w:before="0" w:after="0"/>
              <w:jc w:val="center"/>
              <w:rPr>
                <w:spacing w:val="-1"/>
              </w:rPr>
            </w:pPr>
            <w:r>
              <w:rPr>
                <w:spacing w:val="-1"/>
              </w:rPr>
              <w:t xml:space="preserve">50.00% to 99.99%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7026" w:type="dxa"/>
            <w:tcBorders>
              <w:bottom w:val="single" w:sz="2" w:space="0" w:color="666666"/>
            </w:tcBorders>
            <w:tcMar>
              <w:bottom w:w="64" w:type="dxa"/>
            </w:tcMar>
            <w:vAlign w:val="center"/>
          </w:tcPr>
          <w:p>
            <w:pPr>
              <w:pStyle w:val="TableContents"/>
              <w:bidi w:val="0"/>
              <w:spacing w:before="0" w:after="283"/>
              <w:jc w:val="left"/>
              <w:rPr/>
            </w:pPr>
            <w:r>
              <w:rPr>
                <w:spacing w:val="-1"/>
              </w:rPr>
              <w:t xml:space="preserve">Equal to the </w:t>
            </w:r>
            <w:r>
              <w:rPr>
                <w:i/>
              </w:rPr>
              <w:t>S&amp;P Composite 1500 – Electronic Equipment, Instruments &amp; Components</w:t>
            </w:r>
            <w:r>
              <w:rPr>
                <w:spacing w:val="-1"/>
              </w:rPr>
              <w:t xml:space="preserve"> 50th percentile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749" w:type="dxa"/>
            <w:tcBorders>
              <w:bottom w:val="single" w:sz="2" w:space="0" w:color="666666"/>
            </w:tcBorders>
            <w:tcMar>
              <w:bottom w:w="64" w:type="dxa"/>
            </w:tcMar>
            <w:vAlign w:val="center"/>
          </w:tcPr>
          <w:p>
            <w:pPr>
              <w:pStyle w:val="TableContents"/>
              <w:bidi w:val="0"/>
              <w:spacing w:before="0" w:after="0"/>
              <w:jc w:val="center"/>
              <w:rPr>
                <w:spacing w:val="-1"/>
              </w:rPr>
            </w:pPr>
            <w:r>
              <w:rPr>
                <w:spacing w:val="-1"/>
              </w:rPr>
              <w:t xml:space="preserve">100%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7026" w:type="dxa"/>
            <w:tcBorders>
              <w:bottom w:val="single" w:sz="2" w:space="0" w:color="666666"/>
            </w:tcBorders>
            <w:tcMar>
              <w:bottom w:w="64" w:type="dxa"/>
            </w:tcMar>
            <w:vAlign w:val="center"/>
          </w:tcPr>
          <w:p>
            <w:pPr>
              <w:pStyle w:val="TableContents"/>
              <w:bidi w:val="0"/>
              <w:spacing w:before="0" w:after="283"/>
              <w:jc w:val="left"/>
              <w:rPr/>
            </w:pPr>
            <w:r>
              <w:rPr>
                <w:spacing w:val="-1"/>
              </w:rPr>
              <w:t xml:space="preserve">Between </w:t>
            </w:r>
            <w:r>
              <w:rPr>
                <w:i/>
              </w:rPr>
              <w:t>S&amp;P Composite 1500 – Electronic Equipment, Instruments &amp; Components</w:t>
            </w:r>
            <w:r>
              <w:rPr>
                <w:spacing w:val="-1"/>
              </w:rPr>
              <w:t xml:space="preserve"> 50th to 75th percentile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749" w:type="dxa"/>
            <w:tcBorders>
              <w:bottom w:val="single" w:sz="2" w:space="0" w:color="666666"/>
            </w:tcBorders>
            <w:tcMar>
              <w:bottom w:w="64" w:type="dxa"/>
            </w:tcMar>
            <w:vAlign w:val="center"/>
          </w:tcPr>
          <w:p>
            <w:pPr>
              <w:pStyle w:val="TableContents"/>
              <w:bidi w:val="0"/>
              <w:spacing w:before="0" w:after="0"/>
              <w:jc w:val="center"/>
              <w:rPr/>
            </w:pPr>
            <w:r>
              <w:rPr>
                <w:spacing w:val="-1"/>
              </w:rPr>
              <w:t>100.01% to 199.99%</w:t>
            </w:r>
            <w:r>
              <w:rPr>
                <w:spacing w:val="-1"/>
                <w:sz w:val="12"/>
              </w:rPr>
              <w:t>1</w:t>
            </w:r>
            <w:r>
              <w:rPr/>
              <w:t xml:space="preserve">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7026" w:type="dxa"/>
            <w:tcBorders>
              <w:bottom w:val="single" w:sz="2" w:space="0" w:color="666666"/>
            </w:tcBorders>
            <w:tcMar>
              <w:bottom w:w="64" w:type="dxa"/>
            </w:tcMar>
            <w:vAlign w:val="center"/>
          </w:tcPr>
          <w:p>
            <w:pPr>
              <w:pStyle w:val="TableContents"/>
              <w:bidi w:val="0"/>
              <w:spacing w:before="0" w:after="0"/>
              <w:jc w:val="left"/>
              <w:rPr>
                <w:i/>
              </w:rPr>
            </w:pPr>
            <w:r>
              <w:rPr>
                <w:i/>
              </w:rPr>
              <w:t>S&amp;P Composite 1500 – Electronic Equipment, Instruments &amp; Components</w:t>
            </w:r>
            <w:r>
              <w:rPr>
                <w:i/>
                <w:caps w:val="false"/>
                <w:smallCaps w:val="false"/>
                <w:spacing w:val="-1"/>
              </w:rPr>
              <w:t xml:space="preserve"> </w:t>
            </w:r>
            <w:r>
              <w:rPr>
                <w:i w:val="false"/>
                <w:caps w:val="false"/>
                <w:smallCaps w:val="false"/>
                <w:spacing w:val="-1"/>
              </w:rPr>
              <w:t xml:space="preserve">75th percentile or greater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749" w:type="dxa"/>
            <w:tcBorders>
              <w:bottom w:val="single" w:sz="2" w:space="0" w:color="666666"/>
            </w:tcBorders>
            <w:tcMar>
              <w:bottom w:w="64" w:type="dxa"/>
            </w:tcMar>
            <w:vAlign w:val="center"/>
          </w:tcPr>
          <w:p>
            <w:pPr>
              <w:pStyle w:val="TableContents"/>
              <w:bidi w:val="0"/>
              <w:spacing w:before="0" w:after="0"/>
              <w:jc w:val="center"/>
              <w:rPr/>
            </w:pPr>
            <w:r>
              <w:rPr>
                <w:spacing w:val="-1"/>
              </w:rPr>
              <w:t>200%</w:t>
            </w:r>
            <w:r>
              <w:rPr>
                <w:spacing w:val="-1"/>
                <w:sz w:val="12"/>
              </w:rPr>
              <w:t>1</w:t>
            </w:r>
            <w:r>
              <w:rPr/>
              <w:t xml:space="preserve">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200" w:after="0"/>
        <w:ind w:left="113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If there is a negative cumulative rTSR for the performance period, and cumulative rTSR is above Market 50</w:t>
      </w:r>
      <w:r>
        <w:rPr>
          <w:rFonts w:ascii="Arial;Helvetica;sans-serif" w:hAnsi="Arial;Helvetica;sans-serif"/>
          <w:b w:val="false"/>
          <w:i w:val="false"/>
          <w:caps w:val="false"/>
          <w:smallCaps w:val="false"/>
          <w:color w:val="000000"/>
          <w:spacing w:val="-1"/>
          <w:sz w:val="11"/>
          <w:shd w:fill="FFFFFF" w:val="clear"/>
        </w:rPr>
        <w:t>th</w:t>
      </w:r>
      <w:r>
        <w:rPr>
          <w:rFonts w:ascii="Arial;Helvetica;sans-serif" w:hAnsi="Arial;Helvetica;sans-serif"/>
          <w:b w:val="false"/>
          <w:i w:val="false"/>
          <w:caps w:val="false"/>
          <w:smallCaps w:val="false"/>
          <w:color w:val="000000"/>
          <w:spacing w:val="-1"/>
          <w:sz w:val="14"/>
          <w:shd w:fill="FFFFFF" w:val="clear"/>
        </w:rPr>
        <w:t xml:space="preserve"> Percentile, the percentage of the Target Award is capped at 100.00% of target.</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127000" distB="0" distL="0" distR="0" simplePos="0" locked="0" layoutInCell="1" allowOverlap="1" relativeHeight="374">
                <wp:simplePos x="0" y="0"/>
                <wp:positionH relativeFrom="column">
                  <wp:align>left</wp:align>
                </wp:positionH>
                <wp:positionV relativeFrom="line">
                  <wp:align>top</wp:align>
                </wp:positionV>
                <wp:extent cx="152400" cy="204470"/>
                <wp:effectExtent l="0" t="0" r="0" b="0"/>
                <wp:wrapSquare wrapText="right"/>
                <wp:docPr id="346" name="Frame152"/>
                <a:graphic xmlns:a="http://schemas.openxmlformats.org/drawingml/2006/main">
                  <a:graphicData uri="http://schemas.microsoft.com/office/word/2010/wordprocessingShape">
                    <wps:wsp>
                      <wps:cNvSpPr txBox="1"/>
                      <wps:spPr>
                        <a:xfrm>
                          <a:off x="0" y="0"/>
                          <a:ext cx="152400" cy="204470"/>
                        </a:xfrm>
                        <a:prstGeom prst="rect"/>
                        <a:solidFill>
                          <a:srgbClr val="FFFFFF"/>
                        </a:solidFill>
                      </wps:spPr>
                      <wps:txbx>
                        <w:txbxContent>
                          <w:p>
                            <w:pPr>
                              <w:pStyle w:val="TextBody"/>
                              <w:bidi w:val="0"/>
                              <w:spacing w:before="0" w:after="283"/>
                              <w:jc w:val="left"/>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12pt;height:16.1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before="0" w:after="283"/>
                        <w:jc w:val="left"/>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Based on the three-year performance period ending with fiscal year 2026, Coherent’s TSR was 766.39%, which ranked at the ninety seventh percentile relative to the comparison index. In accordance with the payout scale described above, the Committee reviewed and certified that the rTSR PSUs for the fiscal year 2024-2026 performance period were earned at 200% of target. The Committee then applied this payout percentage to the target number of PSUs originally granted to determine the numbers of PSUs earned, which were as follows:</w:t>
      </w:r>
      <w:r>
        <w:rPr>
          <w:rFonts w:ascii="Arial;Helvetica;sans-serif" w:hAnsi="Arial;Helvetica;sans-serif"/>
          <w:b w:val="false"/>
          <w:i w:val="false"/>
          <w:caps w:val="false"/>
          <w:smallCaps w:val="false"/>
          <w:color w:val="000000"/>
          <w:spacing w:val="4"/>
          <w:sz w:val="19"/>
          <w:shd w:fill="FFFFFF" w:val="clear"/>
        </w:rPr>
        <w:t xml:space="preserve"> </w:t>
      </w:r>
    </w:p>
    <w:tbl>
      <w:tblPr>
        <w:tblW w:w="7362" w:type="dxa"/>
        <w:jc w:val="left"/>
        <w:tblInd w:w="893" w:type="dxa"/>
        <w:tblLayout w:type="fixed"/>
        <w:tblCellMar>
          <w:top w:w="0" w:type="dxa"/>
          <w:left w:w="0" w:type="dxa"/>
          <w:bottom w:w="0" w:type="dxa"/>
          <w:right w:w="0" w:type="dxa"/>
        </w:tblCellMar>
      </w:tblPr>
      <w:tblGrid>
        <w:gridCol w:w="124"/>
        <w:gridCol w:w="2326"/>
        <w:gridCol w:w="109"/>
        <w:gridCol w:w="109"/>
        <w:gridCol w:w="1966"/>
        <w:gridCol w:w="109"/>
        <w:gridCol w:w="109"/>
        <w:gridCol w:w="2356"/>
        <w:gridCol w:w="154"/>
      </w:tblGrid>
      <w:tr>
        <w:trPr/>
        <w:tc>
          <w:tcPr>
            <w:tcW w:w="124" w:type="dxa"/>
            <w:tcBorders/>
            <w:shd w:fill="000000" w:val="clear"/>
            <w:vAlign w:val="center"/>
          </w:tcPr>
          <w:p>
            <w:pPr>
              <w:pStyle w:val="TableContents"/>
              <w:bidi w:val="0"/>
              <w:spacing w:before="0" w:after="283"/>
              <w:jc w:val="left"/>
              <w:rPr/>
            </w:pPr>
            <w:r>
              <w:rPr/>
              <w:t>​</w:t>
            </w:r>
          </w:p>
        </w:tc>
        <w:tc>
          <w:tcPr>
            <w:tcW w:w="2326" w:type="dxa"/>
            <w:tcBorders/>
            <w:shd w:fill="000000" w:val="clear"/>
            <w:vAlign w:val="center"/>
          </w:tcPr>
          <w:p>
            <w:pPr>
              <w:pStyle w:val="TableContents"/>
              <w:bidi w:val="0"/>
              <w:spacing w:lineRule="atLeast" w:line="142" w:before="0" w:after="0"/>
              <w:jc w:val="left"/>
              <w:rPr/>
            </w:pPr>
            <w:r>
              <w:rPr/>
              <w:t>NEO</w:t>
            </w:r>
            <w:r>
              <w:rPr>
                <w:sz w:val="10"/>
              </w:rPr>
              <w:t>1</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966" w:type="dxa"/>
            <w:tcBorders/>
            <w:shd w:fill="000000" w:val="clear"/>
            <w:vAlign w:val="center"/>
          </w:tcPr>
          <w:p>
            <w:pPr>
              <w:pStyle w:val="TableContents"/>
              <w:bidi w:val="0"/>
              <w:spacing w:before="0" w:after="0"/>
              <w:jc w:val="center"/>
              <w:rPr/>
            </w:pPr>
            <w:r>
              <w:rPr/>
              <w:t xml:space="preserve">Target rTSR PSUs </w:t>
              <w:br/>
              <w:t xml:space="preserve">Granted (#)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356" w:type="dxa"/>
            <w:tcBorders/>
            <w:shd w:fill="000000" w:val="clear"/>
            <w:vAlign w:val="center"/>
          </w:tcPr>
          <w:p>
            <w:pPr>
              <w:pStyle w:val="TableContents"/>
              <w:bidi w:val="0"/>
              <w:spacing w:before="0" w:after="0"/>
              <w:jc w:val="center"/>
              <w:rPr/>
            </w:pPr>
            <w:r>
              <w:rPr/>
              <w:t xml:space="preserve">rTSR PSUs Earned (#)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326" w:type="dxa"/>
            <w:tcBorders>
              <w:bottom w:val="single" w:sz="2" w:space="0" w:color="666666"/>
            </w:tcBorders>
            <w:tcMar>
              <w:bottom w:w="88" w:type="dxa"/>
            </w:tcMar>
            <w:vAlign w:val="center"/>
          </w:tcPr>
          <w:p>
            <w:pPr>
              <w:pStyle w:val="TableContents"/>
              <w:bidi w:val="0"/>
              <w:spacing w:before="0" w:after="0"/>
              <w:jc w:val="left"/>
              <w:rPr>
                <w:b/>
              </w:rPr>
            </w:pPr>
            <w:r>
              <w:rPr>
                <w:b/>
                <w:spacing w:val="0"/>
              </w:rPr>
              <w:t>Julie Eng</w:t>
            </w:r>
            <w:r>
              <w:rPr>
                <w:b/>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96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5,980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35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11,960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326" w:type="dxa"/>
            <w:tcBorders>
              <w:bottom w:val="single" w:sz="2" w:space="0" w:color="666666"/>
            </w:tcBorders>
            <w:tcMar>
              <w:bottom w:w="88" w:type="dxa"/>
            </w:tcMar>
            <w:vAlign w:val="center"/>
          </w:tcPr>
          <w:p>
            <w:pPr>
              <w:pStyle w:val="TableContents"/>
              <w:bidi w:val="0"/>
              <w:spacing w:before="0" w:after="0"/>
              <w:jc w:val="left"/>
              <w:rPr>
                <w:b/>
              </w:rPr>
            </w:pPr>
            <w:r>
              <w:rPr>
                <w:b/>
                <w:spacing w:val="0"/>
              </w:rPr>
              <w:t>Giovanni Barbarossa</w:t>
            </w:r>
            <w:r>
              <w:rPr>
                <w:b/>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96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13,155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356" w:type="dxa"/>
            <w:tcBorders>
              <w:bottom w:val="single" w:sz="2" w:space="0" w:color="666666"/>
            </w:tcBorders>
            <w:tcMar>
              <w:bottom w:w="88" w:type="dxa"/>
            </w:tcMar>
            <w:vAlign w:val="center"/>
          </w:tcPr>
          <w:p>
            <w:pPr>
              <w:pStyle w:val="TableContents"/>
              <w:bidi w:val="0"/>
              <w:spacing w:before="0" w:after="0"/>
              <w:jc w:val="center"/>
              <w:rPr/>
            </w:pPr>
            <w:r>
              <w:rPr>
                <w:spacing w:val="-1"/>
              </w:rPr>
              <w:t>26,310</w:t>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200" w:after="0"/>
        <w:ind w:left="113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Mr. Anderson, Ms. Luther, and Mr. Beard joined the Company in 2024 and did not participate in the 2024-2026 PSUs. Mr. Place joined the Company in 2025 and did not participate in the 2024-2026 PSUs.</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127000" distB="0" distL="0" distR="0" simplePos="0" locked="0" layoutInCell="1" allowOverlap="1" relativeHeight="375">
                <wp:simplePos x="0" y="0"/>
                <wp:positionH relativeFrom="column">
                  <wp:align>left</wp:align>
                </wp:positionH>
                <wp:positionV relativeFrom="line">
                  <wp:align>top</wp:align>
                </wp:positionV>
                <wp:extent cx="152400" cy="204470"/>
                <wp:effectExtent l="0" t="0" r="0" b="0"/>
                <wp:wrapSquare wrapText="right"/>
                <wp:docPr id="347" name="Frame153"/>
                <a:graphic xmlns:a="http://schemas.openxmlformats.org/drawingml/2006/main">
                  <a:graphicData uri="http://schemas.microsoft.com/office/word/2010/wordprocessingShape">
                    <wps:wsp>
                      <wps:cNvSpPr txBox="1"/>
                      <wps:spPr>
                        <a:xfrm>
                          <a:off x="0" y="0"/>
                          <a:ext cx="152400" cy="204470"/>
                        </a:xfrm>
                        <a:prstGeom prst="rect"/>
                        <a:solidFill>
                          <a:srgbClr val="FFFFFF"/>
                        </a:solidFill>
                      </wps:spPr>
                      <wps:txbx>
                        <w:txbxContent>
                          <w:p>
                            <w:pPr>
                              <w:pStyle w:val="TextBody"/>
                              <w:bidi w:val="0"/>
                              <w:spacing w:before="0" w:after="283"/>
                              <w:jc w:val="left"/>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12pt;height:16.1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before="0" w:after="283"/>
                        <w:jc w:val="left"/>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tbl>
      <w:tblPr>
        <w:tblW w:w="9272" w:type="dxa"/>
        <w:jc w:val="left"/>
        <w:tblInd w:w="893" w:type="dxa"/>
        <w:tblLayout w:type="fixed"/>
        <w:tblCellMar>
          <w:top w:w="0" w:type="dxa"/>
          <w:left w:w="0" w:type="dxa"/>
          <w:bottom w:w="0" w:type="dxa"/>
          <w:right w:w="0" w:type="dxa"/>
        </w:tblCellMar>
      </w:tblPr>
      <w:tblGrid>
        <w:gridCol w:w="124"/>
        <w:gridCol w:w="6827"/>
        <w:gridCol w:w="109"/>
        <w:gridCol w:w="109"/>
        <w:gridCol w:w="1948"/>
        <w:gridCol w:w="155"/>
      </w:tblGrid>
      <w:tr>
        <w:trPr/>
        <w:tc>
          <w:tcPr>
            <w:tcW w:w="124" w:type="dxa"/>
            <w:tcBorders/>
            <w:shd w:fill="000000" w:val="clear"/>
            <w:vAlign w:val="center"/>
          </w:tcPr>
          <w:p>
            <w:pPr>
              <w:pStyle w:val="TableContents"/>
              <w:bidi w:val="0"/>
              <w:spacing w:before="0" w:after="283"/>
              <w:jc w:val="left"/>
              <w:rPr/>
            </w:pPr>
            <w:r>
              <w:rPr/>
              <w:t>​</w:t>
            </w:r>
          </w:p>
        </w:tc>
        <w:tc>
          <w:tcPr>
            <w:tcW w:w="6827" w:type="dxa"/>
            <w:tcBorders/>
            <w:shd w:fill="000000" w:val="clear"/>
            <w:vAlign w:val="center"/>
          </w:tcPr>
          <w:p>
            <w:pPr>
              <w:pStyle w:val="TableContents"/>
              <w:bidi w:val="0"/>
              <w:spacing w:before="0" w:after="0"/>
              <w:jc w:val="left"/>
              <w:rPr/>
            </w:pPr>
            <w:r>
              <w:rPr/>
              <w:t xml:space="preserve">Cash Flow from Operations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948" w:type="dxa"/>
            <w:tcBorders/>
            <w:shd w:fill="000000" w:val="clear"/>
            <w:vAlign w:val="center"/>
          </w:tcPr>
          <w:p>
            <w:pPr>
              <w:pStyle w:val="TableContents"/>
              <w:bidi w:val="0"/>
              <w:spacing w:before="0" w:after="0"/>
              <w:jc w:val="center"/>
              <w:rPr/>
            </w:pPr>
            <w:r>
              <w:rPr/>
              <w:t>Units Earned as a</w:t>
              <w:br/>
              <w:t xml:space="preserve">Percentage of Target Award </w:t>
            </w:r>
          </w:p>
        </w:tc>
        <w:tc>
          <w:tcPr>
            <w:tcW w:w="155"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6827" w:type="dxa"/>
            <w:tcBorders>
              <w:bottom w:val="single" w:sz="2" w:space="0" w:color="666666"/>
            </w:tcBorders>
            <w:tcMar>
              <w:bottom w:w="64" w:type="dxa"/>
            </w:tcMar>
            <w:vAlign w:val="center"/>
          </w:tcPr>
          <w:p>
            <w:pPr>
              <w:pStyle w:val="TableContents"/>
              <w:bidi w:val="0"/>
              <w:spacing w:before="0" w:after="283"/>
              <w:jc w:val="left"/>
              <w:rPr>
                <w:spacing w:val="-1"/>
              </w:rPr>
            </w:pPr>
            <w:r>
              <w:rPr>
                <w:spacing w:val="-1"/>
              </w:rPr>
              <w:t xml:space="preserve">If Coherent Consolidated Cash Flow from Operations is less than 79.99% of the Cash Flow Target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948" w:type="dxa"/>
            <w:tcBorders>
              <w:bottom w:val="single" w:sz="2" w:space="0" w:color="666666"/>
            </w:tcBorders>
            <w:tcMar>
              <w:bottom w:w="64" w:type="dxa"/>
            </w:tcMar>
            <w:vAlign w:val="center"/>
          </w:tcPr>
          <w:p>
            <w:pPr>
              <w:pStyle w:val="TableContents"/>
              <w:bidi w:val="0"/>
              <w:spacing w:before="0" w:after="0"/>
              <w:jc w:val="center"/>
              <w:rPr>
                <w:spacing w:val="-1"/>
              </w:rPr>
            </w:pPr>
            <w:r>
              <w:rPr>
                <w:spacing w:val="-1"/>
              </w:rPr>
              <w:t xml:space="preserve">0%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6827" w:type="dxa"/>
            <w:tcBorders>
              <w:bottom w:val="single" w:sz="2" w:space="0" w:color="666666"/>
            </w:tcBorders>
            <w:tcMar>
              <w:bottom w:w="64" w:type="dxa"/>
            </w:tcMar>
            <w:vAlign w:val="center"/>
          </w:tcPr>
          <w:p>
            <w:pPr>
              <w:pStyle w:val="TableContents"/>
              <w:bidi w:val="0"/>
              <w:spacing w:before="0" w:after="283"/>
              <w:jc w:val="left"/>
              <w:rPr>
                <w:spacing w:val="-1"/>
              </w:rPr>
            </w:pPr>
            <w:r>
              <w:rPr>
                <w:spacing w:val="-1"/>
              </w:rPr>
              <w:t xml:space="preserve">If Coherent Consolidated Cash Flow from Operations is greater than or equal to 80.00% and less than 100.00% of the Cash Flow Target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948" w:type="dxa"/>
            <w:tcBorders>
              <w:bottom w:val="single" w:sz="2" w:space="0" w:color="666666"/>
            </w:tcBorders>
            <w:tcMar>
              <w:bottom w:w="64" w:type="dxa"/>
            </w:tcMar>
            <w:vAlign w:val="center"/>
          </w:tcPr>
          <w:p>
            <w:pPr>
              <w:pStyle w:val="TableContents"/>
              <w:bidi w:val="0"/>
              <w:spacing w:before="0" w:after="0"/>
              <w:jc w:val="center"/>
              <w:rPr>
                <w:spacing w:val="-1"/>
              </w:rPr>
            </w:pPr>
            <w:r>
              <w:rPr>
                <w:spacing w:val="-1"/>
              </w:rPr>
              <w:t xml:space="preserve">50.00% to 99.99%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6827" w:type="dxa"/>
            <w:tcBorders>
              <w:bottom w:val="single" w:sz="2" w:space="0" w:color="666666"/>
            </w:tcBorders>
            <w:tcMar>
              <w:bottom w:w="64" w:type="dxa"/>
            </w:tcMar>
            <w:vAlign w:val="center"/>
          </w:tcPr>
          <w:p>
            <w:pPr>
              <w:pStyle w:val="TableContents"/>
              <w:bidi w:val="0"/>
              <w:spacing w:before="0" w:after="283"/>
              <w:jc w:val="left"/>
              <w:rPr>
                <w:spacing w:val="-1"/>
              </w:rPr>
            </w:pPr>
            <w:r>
              <w:rPr>
                <w:spacing w:val="-1"/>
              </w:rPr>
              <w:t xml:space="preserve">If Coherent Consolidated Cash Flow from Operations equals 100.00% of the Cash Flow Target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948" w:type="dxa"/>
            <w:tcBorders>
              <w:bottom w:val="single" w:sz="2" w:space="0" w:color="666666"/>
            </w:tcBorders>
            <w:tcMar>
              <w:bottom w:w="64" w:type="dxa"/>
            </w:tcMar>
            <w:vAlign w:val="center"/>
          </w:tcPr>
          <w:p>
            <w:pPr>
              <w:pStyle w:val="TableContents"/>
              <w:bidi w:val="0"/>
              <w:spacing w:before="0" w:after="0"/>
              <w:jc w:val="center"/>
              <w:rPr>
                <w:spacing w:val="-1"/>
              </w:rPr>
            </w:pPr>
            <w:r>
              <w:rPr>
                <w:spacing w:val="-1"/>
              </w:rPr>
              <w:t xml:space="preserve">100%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6827" w:type="dxa"/>
            <w:tcBorders>
              <w:bottom w:val="single" w:sz="2" w:space="0" w:color="666666"/>
            </w:tcBorders>
            <w:tcMar>
              <w:bottom w:w="64" w:type="dxa"/>
            </w:tcMar>
            <w:vAlign w:val="center"/>
          </w:tcPr>
          <w:p>
            <w:pPr>
              <w:pStyle w:val="TableContents"/>
              <w:bidi w:val="0"/>
              <w:spacing w:before="0" w:after="283"/>
              <w:jc w:val="left"/>
              <w:rPr>
                <w:spacing w:val="-1"/>
              </w:rPr>
            </w:pPr>
            <w:r>
              <w:rPr>
                <w:spacing w:val="-1"/>
              </w:rPr>
              <w:t xml:space="preserve">If Coherent Consolidated Cash Flow from Operations is greater than 100.00% and less than 140.00% of the Cash Flow Target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948" w:type="dxa"/>
            <w:tcBorders>
              <w:bottom w:val="single" w:sz="2" w:space="0" w:color="666666"/>
            </w:tcBorders>
            <w:tcMar>
              <w:bottom w:w="64" w:type="dxa"/>
            </w:tcMar>
            <w:vAlign w:val="center"/>
          </w:tcPr>
          <w:p>
            <w:pPr>
              <w:pStyle w:val="TableContents"/>
              <w:bidi w:val="0"/>
              <w:spacing w:before="0" w:after="0"/>
              <w:jc w:val="center"/>
              <w:rPr/>
            </w:pPr>
            <w:r>
              <w:rPr>
                <w:spacing w:val="-1"/>
              </w:rPr>
              <w:t>100.01% to 199.99%</w:t>
            </w:r>
            <w:r>
              <w:rPr>
                <w:spacing w:val="-1"/>
                <w:sz w:val="12"/>
              </w:rPr>
              <w:t>1</w:t>
            </w:r>
            <w:r>
              <w:rPr/>
              <w:t xml:space="preserve">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6827" w:type="dxa"/>
            <w:tcBorders>
              <w:bottom w:val="single" w:sz="2" w:space="0" w:color="666666"/>
            </w:tcBorders>
            <w:tcMar>
              <w:bottom w:w="64" w:type="dxa"/>
            </w:tcMar>
            <w:vAlign w:val="center"/>
          </w:tcPr>
          <w:p>
            <w:pPr>
              <w:pStyle w:val="TableContents"/>
              <w:bidi w:val="0"/>
              <w:spacing w:before="0" w:after="283"/>
              <w:jc w:val="left"/>
              <w:rPr>
                <w:spacing w:val="-1"/>
              </w:rPr>
            </w:pPr>
            <w:r>
              <w:rPr>
                <w:spacing w:val="-1"/>
              </w:rPr>
              <w:t xml:space="preserve">If Coherent Consolidated Cash Flow from Operations is greater than or equal to 140.00% of the Cash Flow Target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948" w:type="dxa"/>
            <w:tcBorders>
              <w:bottom w:val="single" w:sz="2" w:space="0" w:color="666666"/>
            </w:tcBorders>
            <w:tcMar>
              <w:bottom w:w="64" w:type="dxa"/>
            </w:tcMar>
            <w:vAlign w:val="center"/>
          </w:tcPr>
          <w:p>
            <w:pPr>
              <w:pStyle w:val="TableContents"/>
              <w:bidi w:val="0"/>
              <w:spacing w:before="0" w:after="0"/>
              <w:jc w:val="center"/>
              <w:rPr/>
            </w:pPr>
            <w:r>
              <w:rPr>
                <w:spacing w:val="-1"/>
              </w:rPr>
              <w:t>200%</w:t>
            </w:r>
            <w:r>
              <w:rPr>
                <w:spacing w:val="-1"/>
                <w:sz w:val="12"/>
              </w:rPr>
              <w:t>1</w:t>
            </w:r>
            <w:r>
              <w:rPr/>
              <w:t xml:space="preserve">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51</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50" w:before="120" w:after="10030"/>
        <w:ind w:left="89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Based on the three-year performance period ending with fiscal year 2026, Coherent’s cash flow from operations was $1,258.8 million, which was below the threshold performance $2,784.2 million. In accordance with the payout scale described above, the Committee reviewed and certified that the consolidated cash flow from operations PSUs for the fiscal 2024-2026 performance period did not reach the required threshold and therefore were not earned.</w:t>
      </w:r>
      <w:r>
        <w:rPr>
          <w:rFonts w:ascii="Arial;Helvetica;sans-serif" w:hAnsi="Arial;Helvetica;sans-serif"/>
          <w:b w:val="false"/>
          <w:i w:val="false"/>
          <w:caps w:val="false"/>
          <w:smallCaps w:val="false"/>
          <w:color w:val="000000"/>
          <w:spacing w:val="4"/>
          <w:sz w:val="19"/>
          <w:shd w:fill="FFFFFF" w:val="clear"/>
        </w:rPr>
        <w:t xml:space="preserve"> </w:t>
      </w:r>
    </w:p>
    <w:tbl>
      <w:tblPr>
        <w:tblW w:w="8322" w:type="dxa"/>
        <w:jc w:val="left"/>
        <w:tblInd w:w="893" w:type="dxa"/>
        <w:tblLayout w:type="fixed"/>
        <w:tblCellMar>
          <w:top w:w="0" w:type="dxa"/>
          <w:left w:w="0" w:type="dxa"/>
          <w:bottom w:w="0" w:type="dxa"/>
          <w:right w:w="0" w:type="dxa"/>
        </w:tblCellMar>
      </w:tblPr>
      <w:tblGrid>
        <w:gridCol w:w="124"/>
        <w:gridCol w:w="2326"/>
        <w:gridCol w:w="109"/>
        <w:gridCol w:w="109"/>
        <w:gridCol w:w="2416"/>
        <w:gridCol w:w="109"/>
        <w:gridCol w:w="109"/>
        <w:gridCol w:w="2866"/>
        <w:gridCol w:w="154"/>
      </w:tblGrid>
      <w:tr>
        <w:trPr/>
        <w:tc>
          <w:tcPr>
            <w:tcW w:w="124" w:type="dxa"/>
            <w:tcBorders/>
            <w:shd w:fill="000000" w:val="clear"/>
            <w:vAlign w:val="center"/>
          </w:tcPr>
          <w:p>
            <w:pPr>
              <w:pStyle w:val="TableContents"/>
              <w:bidi w:val="0"/>
              <w:spacing w:before="0" w:after="283"/>
              <w:jc w:val="left"/>
              <w:rPr/>
            </w:pPr>
            <w:r>
              <w:rPr/>
              <w:t>​</w:t>
            </w:r>
          </w:p>
        </w:tc>
        <w:tc>
          <w:tcPr>
            <w:tcW w:w="2326" w:type="dxa"/>
            <w:tcBorders/>
            <w:shd w:fill="000000" w:val="clear"/>
            <w:vAlign w:val="center"/>
          </w:tcPr>
          <w:p>
            <w:pPr>
              <w:pStyle w:val="TableContents"/>
              <w:bidi w:val="0"/>
              <w:spacing w:lineRule="atLeast" w:line="142" w:before="0" w:after="0"/>
              <w:jc w:val="left"/>
              <w:rPr/>
            </w:pPr>
            <w:r>
              <w:rPr/>
              <w:t>NEO</w:t>
            </w:r>
            <w:r>
              <w:rPr>
                <w:sz w:val="10"/>
              </w:rPr>
              <w:t>1</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416" w:type="dxa"/>
            <w:tcBorders/>
            <w:shd w:fill="000000" w:val="clear"/>
            <w:vAlign w:val="center"/>
          </w:tcPr>
          <w:p>
            <w:pPr>
              <w:pStyle w:val="TableContents"/>
              <w:bidi w:val="0"/>
              <w:spacing w:before="0" w:after="0"/>
              <w:jc w:val="center"/>
              <w:rPr/>
            </w:pPr>
            <w:r>
              <w:rPr/>
              <w:t>Target Cash Flow PSUs</w:t>
              <w:br/>
              <w:t xml:space="preserve">Granted (#)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866" w:type="dxa"/>
            <w:tcBorders/>
            <w:shd w:fill="000000" w:val="clear"/>
            <w:vAlign w:val="center"/>
          </w:tcPr>
          <w:p>
            <w:pPr>
              <w:pStyle w:val="TableContents"/>
              <w:bidi w:val="0"/>
              <w:spacing w:before="0" w:after="0"/>
              <w:jc w:val="center"/>
              <w:rPr/>
            </w:pPr>
            <w:r>
              <w:rPr/>
              <w:t xml:space="preserve">Cash Flow PSUs Earned (#)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326" w:type="dxa"/>
            <w:tcBorders>
              <w:bottom w:val="single" w:sz="2" w:space="0" w:color="666666"/>
            </w:tcBorders>
            <w:tcMar>
              <w:bottom w:w="88" w:type="dxa"/>
            </w:tcMar>
            <w:vAlign w:val="center"/>
          </w:tcPr>
          <w:p>
            <w:pPr>
              <w:pStyle w:val="TableContents"/>
              <w:bidi w:val="0"/>
              <w:spacing w:before="0" w:after="0"/>
              <w:jc w:val="left"/>
              <w:rPr>
                <w:b/>
              </w:rPr>
            </w:pPr>
            <w:r>
              <w:rPr>
                <w:b/>
                <w:spacing w:val="0"/>
              </w:rPr>
              <w:t>Julie Eng</w:t>
            </w:r>
            <w:r>
              <w:rPr>
                <w:b/>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41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5,979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86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0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326" w:type="dxa"/>
            <w:tcBorders>
              <w:bottom w:val="single" w:sz="2" w:space="0" w:color="666666"/>
            </w:tcBorders>
            <w:tcMar>
              <w:bottom w:w="88" w:type="dxa"/>
            </w:tcMar>
            <w:vAlign w:val="center"/>
          </w:tcPr>
          <w:p>
            <w:pPr>
              <w:pStyle w:val="TableContents"/>
              <w:bidi w:val="0"/>
              <w:spacing w:before="0" w:after="0"/>
              <w:jc w:val="left"/>
              <w:rPr>
                <w:b/>
              </w:rPr>
            </w:pPr>
            <w:r>
              <w:rPr>
                <w:b/>
                <w:spacing w:val="0"/>
              </w:rPr>
              <w:t>Giovanni Barbarossa</w:t>
            </w:r>
            <w:r>
              <w:rPr>
                <w:b/>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41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13,154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866" w:type="dxa"/>
            <w:tcBorders>
              <w:bottom w:val="single" w:sz="2" w:space="0" w:color="666666"/>
            </w:tcBorders>
            <w:tcMar>
              <w:bottom w:w="88" w:type="dxa"/>
            </w:tcMar>
            <w:vAlign w:val="center"/>
          </w:tcPr>
          <w:p>
            <w:pPr>
              <w:pStyle w:val="TableContents"/>
              <w:bidi w:val="0"/>
              <w:spacing w:before="0" w:after="0"/>
              <w:jc w:val="center"/>
              <w:rPr/>
            </w:pPr>
            <w:r>
              <w:rPr>
                <w:spacing w:val="-1"/>
              </w:rPr>
              <w:t>0</w:t>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200" w:after="0"/>
        <w:ind w:left="1133" w:right="40" w:hanging="0"/>
        <w:jc w:val="left"/>
        <w:rPr>
          <w:rFonts w:ascii="Arial;Helvetica;sans-serif" w:hAnsi="Arial;Helvetica;sans-serif"/>
          <w:b w:val="false"/>
          <w:i w:val="false"/>
          <w:caps w:val="false"/>
          <w:smallCaps w:val="false"/>
          <w:color w:val="000000"/>
          <w:spacing w:val="-1"/>
          <w:sz w:val="14"/>
          <w:shd w:fill="FFFFFF" w:val="clear"/>
        </w:rPr>
      </w:pPr>
      <w:r>
        <w:rPr>
          <w:rFonts w:ascii="Arial;Helvetica;sans-serif" w:hAnsi="Arial;Helvetica;sans-serif"/>
          <w:b w:val="false"/>
          <w:i w:val="false"/>
          <w:caps w:val="false"/>
          <w:smallCaps w:val="false"/>
          <w:color w:val="000000"/>
          <w:spacing w:val="-1"/>
          <w:sz w:val="14"/>
          <w:shd w:fill="FFFFFF" w:val="clear"/>
        </w:rPr>
        <w:t xml:space="preserve">Mr. Anderson, Ms. Luther, and Mr. Beard joined the Company in 2024 and did not participate in the 2024-2026 PSUs. Mr. Place joined the Company in 2025 and did not participate in the 2024-2026 PSUs. </w:t>
      </w:r>
      <w:r>
        <mc:AlternateContent>
          <mc:Choice Requires="wps">
            <w:drawing>
              <wp:anchor behindDoc="0" distT="127000" distB="0" distL="0" distR="0" simplePos="0" locked="0" layoutInCell="1" allowOverlap="1" relativeHeight="376">
                <wp:simplePos x="0" y="0"/>
                <wp:positionH relativeFrom="column">
                  <wp:align>left</wp:align>
                </wp:positionH>
                <wp:positionV relativeFrom="line">
                  <wp:align>top</wp:align>
                </wp:positionV>
                <wp:extent cx="152400" cy="204470"/>
                <wp:effectExtent l="0" t="0" r="0" b="0"/>
                <wp:wrapSquare wrapText="right"/>
                <wp:docPr id="348" name="Frame154"/>
                <a:graphic xmlns:a="http://schemas.openxmlformats.org/drawingml/2006/main">
                  <a:graphicData uri="http://schemas.microsoft.com/office/word/2010/wordprocessingShape">
                    <wps:wsp>
                      <wps:cNvSpPr txBox="1"/>
                      <wps:spPr>
                        <a:xfrm>
                          <a:off x="0" y="0"/>
                          <a:ext cx="152400" cy="204470"/>
                        </a:xfrm>
                        <a:prstGeom prst="rect"/>
                        <a:solidFill>
                          <a:srgbClr val="FFFFFF"/>
                        </a:solidFill>
                      </wps:spPr>
                      <wps:txbx>
                        <w:txbxContent>
                          <w:p>
                            <w:pPr>
                              <w:pStyle w:val="TextBody"/>
                              <w:bidi w:val="0"/>
                              <w:spacing w:before="0" w:after="283"/>
                              <w:jc w:val="left"/>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12pt;height:16.1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before="0" w:after="283"/>
                        <w:jc w:val="left"/>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52</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650" w:before="120" w:after="975"/>
        <w:ind w:left="893" w:right="40" w:hanging="0"/>
        <w:jc w:val="left"/>
        <w:rPr>
          <w:rFonts w:ascii="Tahoma;Geneva;sans-serif" w:hAnsi="Tahoma;Geneva;sans-serif"/>
          <w:b/>
          <w:i w:val="false"/>
          <w:caps w:val="false"/>
          <w:smallCaps w:val="false"/>
          <w:color w:val="0068C7"/>
          <w:sz w:val="60"/>
          <w:shd w:fill="FFFFFF" w:val="clear"/>
        </w:rPr>
      </w:pPr>
      <w:r>
        <w:rPr>
          <w:rFonts w:ascii="Tahoma;Geneva;sans-serif" w:hAnsi="Tahoma;Geneva;sans-serif"/>
          <w:b/>
          <w:i w:val="false"/>
          <w:caps w:val="false"/>
          <w:smallCaps w:val="false"/>
          <w:color w:val="0068C7"/>
          <w:sz w:val="60"/>
          <w:shd w:fill="FFFFFF" w:val="clear"/>
        </w:rPr>
        <w:t>IV. COMPENSATION DETERMINATION PROCESS AND GOVERNANCE</w:t>
      </w:r>
      <w:r>
        <w:rPr>
          <w:rFonts w:ascii="Tahoma;Geneva;sans-serif" w:hAnsi="Tahoma;Geneva;sans-serif"/>
          <w:b/>
          <w:i w:val="false"/>
          <w:caps w:val="false"/>
          <w:smallCaps w:val="false"/>
          <w:color w:val="000000"/>
          <w:spacing w:val="12"/>
          <w:sz w:val="60"/>
          <w:shd w:fill="FFFFFF" w:val="clear"/>
        </w:rPr>
        <w:t xml:space="preserve"> </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Coherent assesses the effectiveness of the executive compensation program on an ongoing basis and reviews risk mitigation and governance matters, which includes the following best practices: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360" w:before="280" w:after="283"/>
        <w:jc w:val="left"/>
        <w:rPr>
          <w:rFonts w:ascii="Tahoma;Geneva;sans-serif" w:hAnsi="Tahoma;Geneva;sans-serif"/>
          <w:b/>
          <w:i w:val="false"/>
          <w:caps w:val="false"/>
          <w:smallCaps w:val="false"/>
          <w:color w:val="4C4C4C"/>
          <w:sz w:val="32"/>
          <w:shd w:fill="FFFFFF" w:val="clear"/>
        </w:rPr>
      </w:pPr>
      <w:r>
        <w:rPr>
          <w:rFonts w:ascii="Tahoma;Geneva;sans-serif" w:hAnsi="Tahoma;Geneva;sans-serif"/>
          <w:b/>
          <w:i w:val="false"/>
          <w:caps w:val="false"/>
          <w:smallCaps w:val="false"/>
          <w:color w:val="4C4C4C"/>
          <w:sz w:val="32"/>
          <w:shd w:fill="FFFFFF" w:val="clear"/>
        </w:rPr>
        <w:t>What We Do</w:t>
      </w:r>
      <w:r>
        <w:rPr>
          <w:rFonts w:ascii="Tahoma;Geneva;sans-serif" w:hAnsi="Tahoma;Geneva;sans-serif"/>
          <w:b/>
          <w:i w:val="false"/>
          <w:caps w:val="false"/>
          <w:smallCaps w:val="false"/>
          <w:color w:val="000000"/>
          <w:spacing w:val="6"/>
          <w:sz w:val="32"/>
          <w:shd w:fill="FFFFFF" w:val="clear"/>
        </w:rPr>
        <w:t xml:space="preserve"> </w:t>
      </w:r>
    </w:p>
    <w:tbl>
      <w:tblPr>
        <w:tblW w:w="9272" w:type="dxa"/>
        <w:jc w:val="left"/>
        <w:tblInd w:w="893" w:type="dxa"/>
        <w:tblLayout w:type="fixed"/>
        <w:tblCellMar>
          <w:top w:w="0" w:type="dxa"/>
          <w:left w:w="0" w:type="dxa"/>
          <w:bottom w:w="28" w:type="dxa"/>
          <w:right w:w="0" w:type="dxa"/>
        </w:tblCellMar>
      </w:tblPr>
      <w:tblGrid>
        <w:gridCol w:w="124"/>
        <w:gridCol w:w="2846"/>
        <w:gridCol w:w="109"/>
        <w:gridCol w:w="109"/>
        <w:gridCol w:w="5929"/>
        <w:gridCol w:w="155"/>
      </w:tblGrid>
      <w:tr>
        <w:trPr/>
        <w:tc>
          <w:tcPr>
            <w:tcW w:w="124" w:type="dxa"/>
            <w:tcBorders>
              <w:bottom w:val="single" w:sz="2" w:space="0" w:color="666666"/>
            </w:tcBorders>
            <w:vAlign w:val="center"/>
          </w:tcPr>
          <w:p>
            <w:pPr>
              <w:pStyle w:val="TableContents"/>
              <w:bidi w:val="0"/>
              <w:spacing w:before="0" w:after="283"/>
              <w:jc w:val="left"/>
              <w:rPr/>
            </w:pPr>
            <w:r>
              <w:rPr/>
              <w:t>​</w:t>
            </w:r>
          </w:p>
        </w:tc>
        <w:tc>
          <w:tcPr>
            <w:tcW w:w="2846" w:type="dxa"/>
            <w:tcBorders>
              <w:bottom w:val="single" w:sz="2" w:space="0" w:color="666666"/>
            </w:tcBorders>
            <w:tcMar>
              <w:bottom w:w="84" w:type="dxa"/>
            </w:tcMar>
            <w:vAlign w:val="center"/>
          </w:tcPr>
          <w:p>
            <w:pPr>
              <w:pStyle w:val="TableContents"/>
              <w:bidi w:val="0"/>
              <w:spacing w:lineRule="atLeast" w:line="185" w:before="132" w:after="46"/>
              <w:ind w:left="480" w:right="0" w:hanging="0"/>
              <w:jc w:val="left"/>
              <w:rPr>
                <w:b/>
              </w:rPr>
            </w:pPr>
            <w:r>
              <w:rPr>
                <w:b/>
                <w:spacing w:val="0"/>
              </w:rPr>
              <w:t>Pay for Performance</w:t>
            </w:r>
            <w:r>
              <w:rPr>
                <w:b/>
              </w:rPr>
              <w:t xml:space="preserve"> </w:t>
            </w:r>
            <w:r>
              <mc:AlternateContent>
                <mc:Choice Requires="wps">
                  <w:drawing>
                    <wp:anchor behindDoc="0" distT="0" distB="0" distL="0" distR="0" simplePos="0" locked="0" layoutInCell="1" allowOverlap="1" relativeHeight="123">
                      <wp:simplePos x="0" y="0"/>
                      <wp:positionH relativeFrom="column">
                        <wp:align>left</wp:align>
                      </wp:positionH>
                      <wp:positionV relativeFrom="line">
                        <wp:posOffset>635</wp:posOffset>
                      </wp:positionV>
                      <wp:extent cx="304800" cy="204470"/>
                      <wp:effectExtent l="0" t="0" r="0" b="0"/>
                      <wp:wrapSquare wrapText="right"/>
                      <wp:docPr id="349" name="Frame155"/>
                      <a:graphic xmlns:a="http://schemas.openxmlformats.org/drawingml/2006/main">
                        <a:graphicData uri="http://schemas.microsoft.com/office/word/2010/wordprocessingShape">
                          <wps:wsp>
                            <wps:cNvSpPr txBox="1"/>
                            <wps:spPr>
                              <a:xfrm>
                                <a:off x="0" y="0"/>
                                <a:ext cx="304800" cy="204470"/>
                              </a:xfrm>
                              <a:prstGeom prst="rect"/>
                              <a:solidFill>
                                <a:srgbClr val="FFFFFF"/>
                              </a:solidFill>
                            </wps:spPr>
                            <wps:txbx>
                              <w:txbxContent>
                                <w:p>
                                  <w:pPr>
                                    <w:pStyle w:val="TextBody"/>
                                    <w:bidi w:val="0"/>
                                    <w:spacing w:lineRule="atLeast" w:line="185" w:before="0" w:after="283"/>
                                    <w:jc w:val="left"/>
                                    <w:rPr/>
                                  </w:pPr>
                                  <w:r>
                                    <w:rPr/>
                                    <w:drawing>
                                      <wp:inline distT="0" distB="0" distL="0" distR="0">
                                        <wp:extent cx="190500" cy="171450"/>
                                        <wp:effectExtent l="0" t="0" r="0" b="0"/>
                                        <wp:docPr id="350"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186" descr=""/>
                                                <pic:cNvPicPr>
                                                  <a:picLocks noChangeAspect="1" noChangeArrowheads="1"/>
                                                </pic:cNvPicPr>
                                              </pic:nvPicPr>
                                              <pic:blipFill>
                                                <a:blip r:embed="rId196"/>
                                                <a:stretch>
                                                  <a:fillRect/>
                                                </a:stretch>
                                              </pic:blipFill>
                                              <pic:spPr bwMode="auto">
                                                <a:xfrm>
                                                  <a:off x="0" y="0"/>
                                                  <a:ext cx="190500" cy="17145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4pt;height:16.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5" w:before="0" w:after="283"/>
                              <w:jc w:val="left"/>
                              <w:rPr/>
                            </w:pPr>
                            <w:r>
                              <w:rPr/>
                              <w:drawing>
                                <wp:inline distT="0" distB="0" distL="0" distR="0">
                                  <wp:extent cx="190500" cy="171450"/>
                                  <wp:effectExtent l="0" t="0" r="0" b="0"/>
                                  <wp:docPr id="351"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186" descr=""/>
                                          <pic:cNvPicPr>
                                            <a:picLocks noChangeAspect="1" noChangeArrowheads="1"/>
                                          </pic:cNvPicPr>
                                        </pic:nvPicPr>
                                        <pic:blipFill>
                                          <a:blip r:embed="rId197"/>
                                          <a:stretch>
                                            <a:fillRect/>
                                          </a:stretch>
                                        </pic:blipFill>
                                        <pic:spPr bwMode="auto">
                                          <a:xfrm>
                                            <a:off x="0" y="0"/>
                                            <a:ext cx="190500" cy="17145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5929" w:type="dxa"/>
            <w:tcBorders>
              <w:bottom w:val="single" w:sz="2" w:space="0" w:color="666666"/>
            </w:tcBorders>
            <w:tcMar>
              <w:bottom w:w="84" w:type="dxa"/>
            </w:tcMar>
            <w:vAlign w:val="center"/>
          </w:tcPr>
          <w:p>
            <w:pPr>
              <w:pStyle w:val="TableContents"/>
              <w:bidi w:val="0"/>
              <w:spacing w:lineRule="atLeast" w:line="255" w:before="0" w:after="0"/>
              <w:jc w:val="left"/>
              <w:rPr>
                <w:spacing w:val="-1"/>
              </w:rPr>
            </w:pPr>
            <w:r>
              <w:rPr>
                <w:spacing w:val="-1"/>
              </w:rPr>
              <w:t xml:space="preserve">The majority of total target compensation opportunity for our NEOs is variable and at-risk. </w:t>
            </w:r>
          </w:p>
        </w:tc>
        <w:tc>
          <w:tcPr>
            <w:tcW w:w="155"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2846" w:type="dxa"/>
            <w:tcBorders>
              <w:bottom w:val="single" w:sz="2" w:space="0" w:color="666666"/>
            </w:tcBorders>
            <w:tcMar>
              <w:bottom w:w="64" w:type="dxa"/>
            </w:tcMar>
            <w:vAlign w:val="center"/>
          </w:tcPr>
          <w:p>
            <w:pPr>
              <w:pStyle w:val="TableContents"/>
              <w:bidi w:val="0"/>
              <w:spacing w:lineRule="atLeast" w:line="255" w:before="92" w:after="0"/>
              <w:ind w:left="480" w:right="0" w:hanging="0"/>
              <w:jc w:val="left"/>
              <w:rPr/>
            </w:pPr>
            <w:r>
              <w:rPr>
                <w:b/>
                <w:spacing w:val="0"/>
              </w:rPr>
              <w:t>Balance Short- and Long-</w:t>
            </w:r>
            <w:r>
              <w:rPr>
                <w:bCs/>
                <w:spacing w:val="0"/>
              </w:rPr>
              <w:t>﻿</w:t>
            </w:r>
            <w:r>
              <w:rPr>
                <w:b/>
                <w:spacing w:val="0"/>
              </w:rPr>
              <w:t>Term Compensation</w:t>
            </w:r>
            <w:r>
              <w:rPr>
                <w:b/>
              </w:rPr>
              <w:t xml:space="preserve"> </w:t>
            </w:r>
            <w:r>
              <mc:AlternateContent>
                <mc:Choice Requires="wps">
                  <w:drawing>
                    <wp:anchor behindDoc="0" distT="0" distB="0" distL="0" distR="0" simplePos="0" locked="0" layoutInCell="1" allowOverlap="1" relativeHeight="119">
                      <wp:simplePos x="0" y="0"/>
                      <wp:positionH relativeFrom="column">
                        <wp:align>left</wp:align>
                      </wp:positionH>
                      <wp:positionV relativeFrom="line">
                        <wp:posOffset>635</wp:posOffset>
                      </wp:positionV>
                      <wp:extent cx="304800" cy="204470"/>
                      <wp:effectExtent l="0" t="0" r="0" b="0"/>
                      <wp:wrapSquare wrapText="right"/>
                      <wp:docPr id="352" name="Frame156"/>
                      <a:graphic xmlns:a="http://schemas.openxmlformats.org/drawingml/2006/main">
                        <a:graphicData uri="http://schemas.microsoft.com/office/word/2010/wordprocessingShape">
                          <wps:wsp>
                            <wps:cNvSpPr txBox="1"/>
                            <wps:spPr>
                              <a:xfrm>
                                <a:off x="0" y="0"/>
                                <a:ext cx="304800" cy="204470"/>
                              </a:xfrm>
                              <a:prstGeom prst="rect"/>
                              <a:solidFill>
                                <a:srgbClr val="FFFFFF"/>
                              </a:solidFill>
                            </wps:spPr>
                            <wps:txbx>
                              <w:txbxContent>
                                <w:p>
                                  <w:pPr>
                                    <w:pStyle w:val="TextBody"/>
                                    <w:bidi w:val="0"/>
                                    <w:spacing w:lineRule="atLeast" w:line="255" w:before="0" w:after="283"/>
                                    <w:jc w:val="left"/>
                                    <w:rPr/>
                                  </w:pPr>
                                  <w:r>
                                    <w:rPr/>
                                    <w:drawing>
                                      <wp:inline distT="0" distB="0" distL="0" distR="0">
                                        <wp:extent cx="190500" cy="171450"/>
                                        <wp:effectExtent l="0" t="0" r="0" b="0"/>
                                        <wp:docPr id="353"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187" descr=""/>
                                                <pic:cNvPicPr>
                                                  <a:picLocks noChangeAspect="1" noChangeArrowheads="1"/>
                                                </pic:cNvPicPr>
                                              </pic:nvPicPr>
                                              <pic:blipFill>
                                                <a:blip r:embed="rId198"/>
                                                <a:stretch>
                                                  <a:fillRect/>
                                                </a:stretch>
                                              </pic:blipFill>
                                              <pic:spPr bwMode="auto">
                                                <a:xfrm>
                                                  <a:off x="0" y="0"/>
                                                  <a:ext cx="190500" cy="17145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4pt;height:16.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55" w:before="0" w:after="283"/>
                              <w:jc w:val="left"/>
                              <w:rPr/>
                            </w:pPr>
                            <w:r>
                              <w:rPr/>
                              <w:drawing>
                                <wp:inline distT="0" distB="0" distL="0" distR="0">
                                  <wp:extent cx="190500" cy="171450"/>
                                  <wp:effectExtent l="0" t="0" r="0" b="0"/>
                                  <wp:docPr id="354"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187" descr=""/>
                                          <pic:cNvPicPr>
                                            <a:picLocks noChangeAspect="1" noChangeArrowheads="1"/>
                                          </pic:cNvPicPr>
                                        </pic:nvPicPr>
                                        <pic:blipFill>
                                          <a:blip r:embed="rId199"/>
                                          <a:stretch>
                                            <a:fillRect/>
                                          </a:stretch>
                                        </pic:blipFill>
                                        <pic:spPr bwMode="auto">
                                          <a:xfrm>
                                            <a:off x="0" y="0"/>
                                            <a:ext cx="190500" cy="17145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5929" w:type="dxa"/>
            <w:tcBorders>
              <w:bottom w:val="single" w:sz="2" w:space="0" w:color="666666"/>
            </w:tcBorders>
            <w:tcMar>
              <w:bottom w:w="64" w:type="dxa"/>
            </w:tcMar>
            <w:vAlign w:val="center"/>
          </w:tcPr>
          <w:p>
            <w:pPr>
              <w:pStyle w:val="TableContents"/>
              <w:bidi w:val="0"/>
              <w:spacing w:lineRule="atLeast" w:line="255" w:before="0" w:after="0"/>
              <w:jc w:val="left"/>
              <w:rPr>
                <w:spacing w:val="-1"/>
              </w:rPr>
            </w:pPr>
            <w:r>
              <w:rPr>
                <w:spacing w:val="-1"/>
              </w:rPr>
              <w:t xml:space="preserve">The allocation of incentives among the annual incentive programs and the long-term incentive plan does not over-emphasize short-term performance at the expense of achieving long-term goals. </w:t>
            </w:r>
          </w:p>
        </w:tc>
        <w:tc>
          <w:tcPr>
            <w:tcW w:w="155"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2846" w:type="dxa"/>
            <w:tcBorders>
              <w:bottom w:val="single" w:sz="2" w:space="0" w:color="666666"/>
            </w:tcBorders>
            <w:tcMar>
              <w:bottom w:w="64" w:type="dxa"/>
            </w:tcMar>
            <w:vAlign w:val="center"/>
          </w:tcPr>
          <w:p>
            <w:pPr>
              <w:pStyle w:val="TableContents"/>
              <w:bidi w:val="0"/>
              <w:spacing w:lineRule="atLeast" w:line="255" w:before="92" w:after="0"/>
              <w:ind w:left="480" w:right="0" w:hanging="0"/>
              <w:jc w:val="left"/>
              <w:rPr/>
            </w:pPr>
            <w:r>
              <w:rPr>
                <w:spacing w:val="0"/>
              </w:rPr>
              <w:t>Combination of Balanced</w:t>
            </w:r>
            <w:r>
              <w:rPr>
                <w:spacing w:val="-2"/>
              </w:rPr>
              <w:t xml:space="preserve"> </w:t>
            </w:r>
            <w:r>
              <w:rPr>
                <w:spacing w:val="0"/>
              </w:rPr>
              <w:t>﻿</w:t>
            </w:r>
            <w:r>
              <w:rPr>
                <w:spacing w:val="0"/>
              </w:rPr>
              <w:t>Performance Metrics</w:t>
            </w:r>
            <w:r>
              <w:rPr/>
              <w:t xml:space="preserve"> </w:t>
            </w:r>
            <w:r>
              <mc:AlternateContent>
                <mc:Choice Requires="wps">
                  <w:drawing>
                    <wp:anchor behindDoc="0" distT="0" distB="0" distL="0" distR="0" simplePos="0" locked="0" layoutInCell="1" allowOverlap="1" relativeHeight="117">
                      <wp:simplePos x="0" y="0"/>
                      <wp:positionH relativeFrom="column">
                        <wp:align>left</wp:align>
                      </wp:positionH>
                      <wp:positionV relativeFrom="line">
                        <wp:posOffset>635</wp:posOffset>
                      </wp:positionV>
                      <wp:extent cx="304800" cy="204470"/>
                      <wp:effectExtent l="0" t="0" r="0" b="0"/>
                      <wp:wrapSquare wrapText="right"/>
                      <wp:docPr id="355" name="Frame157"/>
                      <a:graphic xmlns:a="http://schemas.openxmlformats.org/drawingml/2006/main">
                        <a:graphicData uri="http://schemas.microsoft.com/office/word/2010/wordprocessingShape">
                          <wps:wsp>
                            <wps:cNvSpPr txBox="1"/>
                            <wps:spPr>
                              <a:xfrm>
                                <a:off x="0" y="0"/>
                                <a:ext cx="304800" cy="204470"/>
                              </a:xfrm>
                              <a:prstGeom prst="rect"/>
                              <a:solidFill>
                                <a:srgbClr val="FFFFFF"/>
                              </a:solidFill>
                            </wps:spPr>
                            <wps:txbx>
                              <w:txbxContent>
                                <w:p>
                                  <w:pPr>
                                    <w:pStyle w:val="TextBody"/>
                                    <w:bidi w:val="0"/>
                                    <w:spacing w:lineRule="atLeast" w:line="255" w:before="0" w:after="283"/>
                                    <w:jc w:val="left"/>
                                    <w:rPr/>
                                  </w:pPr>
                                  <w:r>
                                    <w:rPr/>
                                    <w:drawing>
                                      <wp:inline distT="0" distB="0" distL="0" distR="0">
                                        <wp:extent cx="190500" cy="171450"/>
                                        <wp:effectExtent l="0" t="0" r="0" b="0"/>
                                        <wp:docPr id="356"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188" descr=""/>
                                                <pic:cNvPicPr>
                                                  <a:picLocks noChangeAspect="1" noChangeArrowheads="1"/>
                                                </pic:cNvPicPr>
                                              </pic:nvPicPr>
                                              <pic:blipFill>
                                                <a:blip r:embed="rId200"/>
                                                <a:stretch>
                                                  <a:fillRect/>
                                                </a:stretch>
                                              </pic:blipFill>
                                              <pic:spPr bwMode="auto">
                                                <a:xfrm>
                                                  <a:off x="0" y="0"/>
                                                  <a:ext cx="190500" cy="17145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4pt;height:16.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55" w:before="0" w:after="283"/>
                              <w:jc w:val="left"/>
                              <w:rPr/>
                            </w:pPr>
                            <w:r>
                              <w:rPr/>
                              <w:drawing>
                                <wp:inline distT="0" distB="0" distL="0" distR="0">
                                  <wp:extent cx="190500" cy="171450"/>
                                  <wp:effectExtent l="0" t="0" r="0" b="0"/>
                                  <wp:docPr id="357"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188" descr=""/>
                                          <pic:cNvPicPr>
                                            <a:picLocks noChangeAspect="1" noChangeArrowheads="1"/>
                                          </pic:cNvPicPr>
                                        </pic:nvPicPr>
                                        <pic:blipFill>
                                          <a:blip r:embed="rId201"/>
                                          <a:stretch>
                                            <a:fillRect/>
                                          </a:stretch>
                                        </pic:blipFill>
                                        <pic:spPr bwMode="auto">
                                          <a:xfrm>
                                            <a:off x="0" y="0"/>
                                            <a:ext cx="190500" cy="17145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5929" w:type="dxa"/>
            <w:tcBorders>
              <w:bottom w:val="single" w:sz="2" w:space="0" w:color="666666"/>
            </w:tcBorders>
            <w:tcMar>
              <w:bottom w:w="64" w:type="dxa"/>
            </w:tcMar>
            <w:vAlign w:val="center"/>
          </w:tcPr>
          <w:p>
            <w:pPr>
              <w:pStyle w:val="TableContents"/>
              <w:bidi w:val="0"/>
              <w:spacing w:lineRule="atLeast" w:line="255" w:before="0" w:after="0"/>
              <w:jc w:val="left"/>
              <w:rPr>
                <w:b w:val="false"/>
                <w:spacing w:val="-1"/>
              </w:rPr>
            </w:pPr>
            <w:r>
              <w:rPr>
                <w:b w:val="false"/>
                <w:spacing w:val="-1"/>
              </w:rPr>
              <w:t xml:space="preserve">We use differentiated financial performance metrics in our annual incentive programs for executive officers. </w:t>
            </w:r>
          </w:p>
        </w:tc>
        <w:tc>
          <w:tcPr>
            <w:tcW w:w="155"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2846" w:type="dxa"/>
            <w:tcBorders>
              <w:bottom w:val="single" w:sz="2" w:space="0" w:color="666666"/>
            </w:tcBorders>
            <w:tcMar>
              <w:bottom w:w="64" w:type="dxa"/>
            </w:tcMar>
            <w:vAlign w:val="center"/>
          </w:tcPr>
          <w:p>
            <w:pPr>
              <w:pStyle w:val="TableContents"/>
              <w:bidi w:val="0"/>
              <w:spacing w:lineRule="atLeast" w:line="255" w:before="92" w:after="0"/>
              <w:ind w:left="480" w:right="0" w:hanging="0"/>
              <w:jc w:val="left"/>
              <w:rPr/>
            </w:pPr>
            <w:r>
              <w:rPr>
                <w:spacing w:val="0"/>
              </w:rPr>
              <w:t>Independent Compensation</w:t>
            </w:r>
            <w:r>
              <w:rPr>
                <w:spacing w:val="-2"/>
              </w:rPr>
              <w:t xml:space="preserve"> </w:t>
            </w:r>
            <w:r>
              <w:rPr>
                <w:spacing w:val="0"/>
              </w:rPr>
              <w:t>﻿</w:t>
            </w:r>
            <w:r>
              <w:rPr>
                <w:spacing w:val="0"/>
              </w:rPr>
              <w:t>Consultant</w:t>
            </w:r>
            <w:r>
              <w:rPr/>
              <w:t xml:space="preserve"> </w:t>
            </w:r>
            <w:r>
              <mc:AlternateContent>
                <mc:Choice Requires="wps">
                  <w:drawing>
                    <wp:anchor behindDoc="0" distT="0" distB="0" distL="0" distR="0" simplePos="0" locked="0" layoutInCell="1" allowOverlap="1" relativeHeight="115">
                      <wp:simplePos x="0" y="0"/>
                      <wp:positionH relativeFrom="column">
                        <wp:align>left</wp:align>
                      </wp:positionH>
                      <wp:positionV relativeFrom="line">
                        <wp:posOffset>635</wp:posOffset>
                      </wp:positionV>
                      <wp:extent cx="304800" cy="204470"/>
                      <wp:effectExtent l="0" t="0" r="0" b="0"/>
                      <wp:wrapSquare wrapText="right"/>
                      <wp:docPr id="358" name="Frame158"/>
                      <a:graphic xmlns:a="http://schemas.openxmlformats.org/drawingml/2006/main">
                        <a:graphicData uri="http://schemas.microsoft.com/office/word/2010/wordprocessingShape">
                          <wps:wsp>
                            <wps:cNvSpPr txBox="1"/>
                            <wps:spPr>
                              <a:xfrm>
                                <a:off x="0" y="0"/>
                                <a:ext cx="304800" cy="204470"/>
                              </a:xfrm>
                              <a:prstGeom prst="rect"/>
                              <a:solidFill>
                                <a:srgbClr val="FFFFFF"/>
                              </a:solidFill>
                            </wps:spPr>
                            <wps:txbx>
                              <w:txbxContent>
                                <w:p>
                                  <w:pPr>
                                    <w:pStyle w:val="TextBody"/>
                                    <w:bidi w:val="0"/>
                                    <w:spacing w:lineRule="atLeast" w:line="255" w:before="0" w:after="283"/>
                                    <w:jc w:val="left"/>
                                    <w:rPr/>
                                  </w:pPr>
                                  <w:r>
                                    <w:rPr/>
                                    <w:drawing>
                                      <wp:inline distT="0" distB="0" distL="0" distR="0">
                                        <wp:extent cx="190500" cy="171450"/>
                                        <wp:effectExtent l="0" t="0" r="0" b="0"/>
                                        <wp:docPr id="359"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189" descr=""/>
                                                <pic:cNvPicPr>
                                                  <a:picLocks noChangeAspect="1" noChangeArrowheads="1"/>
                                                </pic:cNvPicPr>
                                              </pic:nvPicPr>
                                              <pic:blipFill>
                                                <a:blip r:embed="rId202"/>
                                                <a:stretch>
                                                  <a:fillRect/>
                                                </a:stretch>
                                              </pic:blipFill>
                                              <pic:spPr bwMode="auto">
                                                <a:xfrm>
                                                  <a:off x="0" y="0"/>
                                                  <a:ext cx="190500" cy="17145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4pt;height:16.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55" w:before="0" w:after="283"/>
                              <w:jc w:val="left"/>
                              <w:rPr/>
                            </w:pPr>
                            <w:r>
                              <w:rPr/>
                              <w:drawing>
                                <wp:inline distT="0" distB="0" distL="0" distR="0">
                                  <wp:extent cx="190500" cy="171450"/>
                                  <wp:effectExtent l="0" t="0" r="0" b="0"/>
                                  <wp:docPr id="360"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189" descr=""/>
                                          <pic:cNvPicPr>
                                            <a:picLocks noChangeAspect="1" noChangeArrowheads="1"/>
                                          </pic:cNvPicPr>
                                        </pic:nvPicPr>
                                        <pic:blipFill>
                                          <a:blip r:embed="rId203"/>
                                          <a:stretch>
                                            <a:fillRect/>
                                          </a:stretch>
                                        </pic:blipFill>
                                        <pic:spPr bwMode="auto">
                                          <a:xfrm>
                                            <a:off x="0" y="0"/>
                                            <a:ext cx="190500" cy="17145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5929" w:type="dxa"/>
            <w:tcBorders>
              <w:bottom w:val="single" w:sz="2" w:space="0" w:color="666666"/>
            </w:tcBorders>
            <w:tcMar>
              <w:bottom w:w="64" w:type="dxa"/>
            </w:tcMar>
            <w:vAlign w:val="center"/>
          </w:tcPr>
          <w:p>
            <w:pPr>
              <w:pStyle w:val="TableContents"/>
              <w:bidi w:val="0"/>
              <w:spacing w:lineRule="atLeast" w:line="255" w:before="0" w:after="0"/>
              <w:jc w:val="left"/>
              <w:rPr>
                <w:b w:val="false"/>
                <w:spacing w:val="-1"/>
              </w:rPr>
            </w:pPr>
            <w:r>
              <w:rPr>
                <w:b w:val="false"/>
                <w:spacing w:val="-1"/>
              </w:rPr>
              <w:t xml:space="preserve">The Committee has engaged an independent compensation consultant to provide information and advice for use in designing our executive compensation program. </w:t>
            </w:r>
          </w:p>
        </w:tc>
        <w:tc>
          <w:tcPr>
            <w:tcW w:w="155"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2846" w:type="dxa"/>
            <w:tcBorders>
              <w:bottom w:val="single" w:sz="2" w:space="0" w:color="666666"/>
            </w:tcBorders>
            <w:tcMar>
              <w:bottom w:w="64" w:type="dxa"/>
            </w:tcMar>
            <w:vAlign w:val="center"/>
          </w:tcPr>
          <w:p>
            <w:pPr>
              <w:pStyle w:val="TableContents"/>
              <w:bidi w:val="0"/>
              <w:spacing w:lineRule="atLeast" w:line="185" w:before="132" w:after="0"/>
              <w:ind w:left="480" w:right="0" w:hanging="0"/>
              <w:jc w:val="left"/>
              <w:rPr>
                <w:b/>
              </w:rPr>
            </w:pPr>
            <w:r>
              <w:rPr>
                <w:b/>
                <w:spacing w:val="0"/>
              </w:rPr>
              <w:t>Peer Data</w:t>
            </w:r>
            <w:r>
              <w:rPr>
                <w:b/>
              </w:rPr>
              <w:t xml:space="preserve"> </w:t>
            </w:r>
            <w:r>
              <mc:AlternateContent>
                <mc:Choice Requires="wps">
                  <w:drawing>
                    <wp:anchor behindDoc="0" distT="0" distB="0" distL="0" distR="0" simplePos="0" locked="0" layoutInCell="1" allowOverlap="1" relativeHeight="113">
                      <wp:simplePos x="0" y="0"/>
                      <wp:positionH relativeFrom="column">
                        <wp:align>left</wp:align>
                      </wp:positionH>
                      <wp:positionV relativeFrom="line">
                        <wp:posOffset>635</wp:posOffset>
                      </wp:positionV>
                      <wp:extent cx="304800" cy="204470"/>
                      <wp:effectExtent l="0" t="0" r="0" b="0"/>
                      <wp:wrapSquare wrapText="right"/>
                      <wp:docPr id="361" name="Frame159"/>
                      <a:graphic xmlns:a="http://schemas.openxmlformats.org/drawingml/2006/main">
                        <a:graphicData uri="http://schemas.microsoft.com/office/word/2010/wordprocessingShape">
                          <wps:wsp>
                            <wps:cNvSpPr txBox="1"/>
                            <wps:spPr>
                              <a:xfrm>
                                <a:off x="0" y="0"/>
                                <a:ext cx="304800" cy="204470"/>
                              </a:xfrm>
                              <a:prstGeom prst="rect"/>
                              <a:solidFill>
                                <a:srgbClr val="FFFFFF"/>
                              </a:solidFill>
                            </wps:spPr>
                            <wps:txbx>
                              <w:txbxContent>
                                <w:p>
                                  <w:pPr>
                                    <w:pStyle w:val="TextBody"/>
                                    <w:bidi w:val="0"/>
                                    <w:spacing w:lineRule="atLeast" w:line="185" w:before="0" w:after="283"/>
                                    <w:jc w:val="left"/>
                                    <w:rPr/>
                                  </w:pPr>
                                  <w:r>
                                    <w:rPr/>
                                    <w:drawing>
                                      <wp:inline distT="0" distB="0" distL="0" distR="0">
                                        <wp:extent cx="190500" cy="171450"/>
                                        <wp:effectExtent l="0" t="0" r="0" b="0"/>
                                        <wp:docPr id="362"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190" descr=""/>
                                                <pic:cNvPicPr>
                                                  <a:picLocks noChangeAspect="1" noChangeArrowheads="1"/>
                                                </pic:cNvPicPr>
                                              </pic:nvPicPr>
                                              <pic:blipFill>
                                                <a:blip r:embed="rId204"/>
                                                <a:stretch>
                                                  <a:fillRect/>
                                                </a:stretch>
                                              </pic:blipFill>
                                              <pic:spPr bwMode="auto">
                                                <a:xfrm>
                                                  <a:off x="0" y="0"/>
                                                  <a:ext cx="190500" cy="17145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4pt;height:16.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5" w:before="0" w:after="283"/>
                              <w:jc w:val="left"/>
                              <w:rPr/>
                            </w:pPr>
                            <w:r>
                              <w:rPr/>
                              <w:drawing>
                                <wp:inline distT="0" distB="0" distL="0" distR="0">
                                  <wp:extent cx="190500" cy="171450"/>
                                  <wp:effectExtent l="0" t="0" r="0" b="0"/>
                                  <wp:docPr id="363"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190" descr=""/>
                                          <pic:cNvPicPr>
                                            <a:picLocks noChangeAspect="1" noChangeArrowheads="1"/>
                                          </pic:cNvPicPr>
                                        </pic:nvPicPr>
                                        <pic:blipFill>
                                          <a:blip r:embed="rId205"/>
                                          <a:stretch>
                                            <a:fillRect/>
                                          </a:stretch>
                                        </pic:blipFill>
                                        <pic:spPr bwMode="auto">
                                          <a:xfrm>
                                            <a:off x="0" y="0"/>
                                            <a:ext cx="190500" cy="17145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5929" w:type="dxa"/>
            <w:tcBorders>
              <w:bottom w:val="single" w:sz="2" w:space="0" w:color="666666"/>
            </w:tcBorders>
            <w:tcMar>
              <w:bottom w:w="64" w:type="dxa"/>
            </w:tcMar>
            <w:vAlign w:val="center"/>
          </w:tcPr>
          <w:p>
            <w:pPr>
              <w:pStyle w:val="TableContents"/>
              <w:bidi w:val="0"/>
              <w:spacing w:lineRule="atLeast" w:line="255" w:before="0" w:after="0"/>
              <w:jc w:val="left"/>
              <w:rPr>
                <w:spacing w:val="-1"/>
              </w:rPr>
            </w:pPr>
            <w:r>
              <w:rPr>
                <w:spacing w:val="-1"/>
              </w:rPr>
              <w:t xml:space="preserve">We develop a peer group of companies based on industry, revenue, and market capitalization to reference for compensation decisions. </w:t>
            </w:r>
          </w:p>
        </w:tc>
        <w:tc>
          <w:tcPr>
            <w:tcW w:w="155"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2846" w:type="dxa"/>
            <w:tcBorders>
              <w:bottom w:val="single" w:sz="2" w:space="0" w:color="666666"/>
            </w:tcBorders>
            <w:tcMar>
              <w:bottom w:w="64" w:type="dxa"/>
            </w:tcMar>
            <w:vAlign w:val="center"/>
          </w:tcPr>
          <w:p>
            <w:pPr>
              <w:pStyle w:val="TableContents"/>
              <w:bidi w:val="0"/>
              <w:spacing w:lineRule="atLeast" w:line="255" w:before="92" w:after="0"/>
              <w:ind w:left="480" w:right="0" w:hanging="0"/>
              <w:jc w:val="left"/>
              <w:rPr/>
            </w:pPr>
            <w:r>
              <w:rPr>
                <w:b/>
                <w:spacing w:val="0"/>
              </w:rPr>
              <w:t>Cap Bonus Payouts; Fixed</w:t>
            </w:r>
            <w:r>
              <w:rPr>
                <w:b/>
                <w:spacing w:val="-2"/>
              </w:rPr>
              <w:t xml:space="preserve"> </w:t>
            </w:r>
            <w:r>
              <w:rPr>
                <w:bCs/>
                <w:spacing w:val="0"/>
              </w:rPr>
              <w:t>﻿</w:t>
            </w:r>
            <w:r>
              <w:rPr>
                <w:b/>
                <w:spacing w:val="0"/>
              </w:rPr>
              <w:t>Equity Grants</w:t>
            </w:r>
            <w:r>
              <w:rPr>
                <w:b/>
              </w:rPr>
              <w:t xml:space="preserve"> </w:t>
            </w:r>
            <w:r>
              <mc:AlternateContent>
                <mc:Choice Requires="wps">
                  <w:drawing>
                    <wp:anchor behindDoc="0" distT="0" distB="0" distL="0" distR="0" simplePos="0" locked="0" layoutInCell="1" allowOverlap="1" relativeHeight="111">
                      <wp:simplePos x="0" y="0"/>
                      <wp:positionH relativeFrom="column">
                        <wp:align>left</wp:align>
                      </wp:positionH>
                      <wp:positionV relativeFrom="line">
                        <wp:posOffset>635</wp:posOffset>
                      </wp:positionV>
                      <wp:extent cx="304800" cy="204470"/>
                      <wp:effectExtent l="0" t="0" r="0" b="0"/>
                      <wp:wrapSquare wrapText="right"/>
                      <wp:docPr id="364" name="Frame160"/>
                      <a:graphic xmlns:a="http://schemas.openxmlformats.org/drawingml/2006/main">
                        <a:graphicData uri="http://schemas.microsoft.com/office/word/2010/wordprocessingShape">
                          <wps:wsp>
                            <wps:cNvSpPr txBox="1"/>
                            <wps:spPr>
                              <a:xfrm>
                                <a:off x="0" y="0"/>
                                <a:ext cx="304800" cy="204470"/>
                              </a:xfrm>
                              <a:prstGeom prst="rect"/>
                              <a:solidFill>
                                <a:srgbClr val="FFFFFF"/>
                              </a:solidFill>
                            </wps:spPr>
                            <wps:txbx>
                              <w:txbxContent>
                                <w:p>
                                  <w:pPr>
                                    <w:pStyle w:val="TextBody"/>
                                    <w:bidi w:val="0"/>
                                    <w:spacing w:lineRule="atLeast" w:line="255" w:before="0" w:after="283"/>
                                    <w:jc w:val="left"/>
                                    <w:rPr/>
                                  </w:pPr>
                                  <w:r>
                                    <w:rPr/>
                                    <w:drawing>
                                      <wp:inline distT="0" distB="0" distL="0" distR="0">
                                        <wp:extent cx="190500" cy="171450"/>
                                        <wp:effectExtent l="0" t="0" r="0" b="0"/>
                                        <wp:docPr id="365"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191" descr=""/>
                                                <pic:cNvPicPr>
                                                  <a:picLocks noChangeAspect="1" noChangeArrowheads="1"/>
                                                </pic:cNvPicPr>
                                              </pic:nvPicPr>
                                              <pic:blipFill>
                                                <a:blip r:embed="rId206"/>
                                                <a:stretch>
                                                  <a:fillRect/>
                                                </a:stretch>
                                              </pic:blipFill>
                                              <pic:spPr bwMode="auto">
                                                <a:xfrm>
                                                  <a:off x="0" y="0"/>
                                                  <a:ext cx="190500" cy="17145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4pt;height:16.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55" w:before="0" w:after="283"/>
                              <w:jc w:val="left"/>
                              <w:rPr/>
                            </w:pPr>
                            <w:r>
                              <w:rPr/>
                              <w:drawing>
                                <wp:inline distT="0" distB="0" distL="0" distR="0">
                                  <wp:extent cx="190500" cy="171450"/>
                                  <wp:effectExtent l="0" t="0" r="0" b="0"/>
                                  <wp:docPr id="366"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191" descr=""/>
                                          <pic:cNvPicPr>
                                            <a:picLocks noChangeAspect="1" noChangeArrowheads="1"/>
                                          </pic:cNvPicPr>
                                        </pic:nvPicPr>
                                        <pic:blipFill>
                                          <a:blip r:embed="rId207"/>
                                          <a:stretch>
                                            <a:fillRect/>
                                          </a:stretch>
                                        </pic:blipFill>
                                        <pic:spPr bwMode="auto">
                                          <a:xfrm>
                                            <a:off x="0" y="0"/>
                                            <a:ext cx="190500" cy="17145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5929" w:type="dxa"/>
            <w:tcBorders>
              <w:bottom w:val="single" w:sz="2" w:space="0" w:color="666666"/>
            </w:tcBorders>
            <w:tcMar>
              <w:bottom w:w="64" w:type="dxa"/>
            </w:tcMar>
            <w:vAlign w:val="center"/>
          </w:tcPr>
          <w:p>
            <w:pPr>
              <w:pStyle w:val="TableContents"/>
              <w:bidi w:val="0"/>
              <w:spacing w:lineRule="atLeast" w:line="255" w:before="0" w:after="0"/>
              <w:jc w:val="left"/>
              <w:rPr>
                <w:spacing w:val="-1"/>
              </w:rPr>
            </w:pPr>
            <w:r>
              <w:rPr>
                <w:spacing w:val="-1"/>
              </w:rPr>
              <w:t xml:space="preserve">Our annual incentive programs have an upper limit on the amount of cash that may be earned. The maximum number of PSUs that may be earned is fixed at the time of grant. </w:t>
            </w:r>
          </w:p>
        </w:tc>
        <w:tc>
          <w:tcPr>
            <w:tcW w:w="155"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2846" w:type="dxa"/>
            <w:tcBorders>
              <w:bottom w:val="single" w:sz="2" w:space="0" w:color="666666"/>
            </w:tcBorders>
            <w:tcMar>
              <w:bottom w:w="64" w:type="dxa"/>
            </w:tcMar>
            <w:vAlign w:val="center"/>
          </w:tcPr>
          <w:p>
            <w:pPr>
              <w:pStyle w:val="TableContents"/>
              <w:bidi w:val="0"/>
              <w:spacing w:lineRule="atLeast" w:line="255" w:before="92" w:after="0"/>
              <w:ind w:left="480" w:right="0" w:hanging="0"/>
              <w:jc w:val="left"/>
              <w:rPr/>
            </w:pPr>
            <w:r>
              <w:rPr>
                <w:b/>
                <w:spacing w:val="0"/>
              </w:rPr>
              <w:t>Double Trigger Change-in-</w:t>
            </w:r>
            <w:r>
              <w:rPr>
                <w:bCs/>
                <w:spacing w:val="0"/>
              </w:rPr>
              <w:t>﻿</w:t>
            </w:r>
            <w:r>
              <w:rPr>
                <w:b/>
                <w:spacing w:val="0"/>
              </w:rPr>
              <w:t>Control Provisions</w:t>
            </w:r>
            <w:r>
              <w:rPr>
                <w:b/>
              </w:rPr>
              <w:t xml:space="preserve"> </w:t>
            </w:r>
            <w:r>
              <mc:AlternateContent>
                <mc:Choice Requires="wps">
                  <w:drawing>
                    <wp:anchor behindDoc="0" distT="0" distB="0" distL="0" distR="0" simplePos="0" locked="0" layoutInCell="1" allowOverlap="1" relativeHeight="109">
                      <wp:simplePos x="0" y="0"/>
                      <wp:positionH relativeFrom="column">
                        <wp:align>left</wp:align>
                      </wp:positionH>
                      <wp:positionV relativeFrom="line">
                        <wp:posOffset>635</wp:posOffset>
                      </wp:positionV>
                      <wp:extent cx="304800" cy="204470"/>
                      <wp:effectExtent l="0" t="0" r="0" b="0"/>
                      <wp:wrapSquare wrapText="right"/>
                      <wp:docPr id="367" name="Frame161"/>
                      <a:graphic xmlns:a="http://schemas.openxmlformats.org/drawingml/2006/main">
                        <a:graphicData uri="http://schemas.microsoft.com/office/word/2010/wordprocessingShape">
                          <wps:wsp>
                            <wps:cNvSpPr txBox="1"/>
                            <wps:spPr>
                              <a:xfrm>
                                <a:off x="0" y="0"/>
                                <a:ext cx="304800" cy="204470"/>
                              </a:xfrm>
                              <a:prstGeom prst="rect"/>
                              <a:solidFill>
                                <a:srgbClr val="FFFFFF"/>
                              </a:solidFill>
                            </wps:spPr>
                            <wps:txbx>
                              <w:txbxContent>
                                <w:p>
                                  <w:pPr>
                                    <w:pStyle w:val="TextBody"/>
                                    <w:bidi w:val="0"/>
                                    <w:spacing w:lineRule="atLeast" w:line="255" w:before="0" w:after="283"/>
                                    <w:jc w:val="left"/>
                                    <w:rPr/>
                                  </w:pPr>
                                  <w:r>
                                    <w:rPr/>
                                    <w:drawing>
                                      <wp:inline distT="0" distB="0" distL="0" distR="0">
                                        <wp:extent cx="190500" cy="171450"/>
                                        <wp:effectExtent l="0" t="0" r="0" b="0"/>
                                        <wp:docPr id="368"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192" descr=""/>
                                                <pic:cNvPicPr>
                                                  <a:picLocks noChangeAspect="1" noChangeArrowheads="1"/>
                                                </pic:cNvPicPr>
                                              </pic:nvPicPr>
                                              <pic:blipFill>
                                                <a:blip r:embed="rId208"/>
                                                <a:stretch>
                                                  <a:fillRect/>
                                                </a:stretch>
                                              </pic:blipFill>
                                              <pic:spPr bwMode="auto">
                                                <a:xfrm>
                                                  <a:off x="0" y="0"/>
                                                  <a:ext cx="190500" cy="17145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4pt;height:16.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55" w:before="0" w:after="283"/>
                              <w:jc w:val="left"/>
                              <w:rPr/>
                            </w:pPr>
                            <w:r>
                              <w:rPr/>
                              <w:drawing>
                                <wp:inline distT="0" distB="0" distL="0" distR="0">
                                  <wp:extent cx="190500" cy="171450"/>
                                  <wp:effectExtent l="0" t="0" r="0" b="0"/>
                                  <wp:docPr id="369"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192" descr=""/>
                                          <pic:cNvPicPr>
                                            <a:picLocks noChangeAspect="1" noChangeArrowheads="1"/>
                                          </pic:cNvPicPr>
                                        </pic:nvPicPr>
                                        <pic:blipFill>
                                          <a:blip r:embed="rId209"/>
                                          <a:stretch>
                                            <a:fillRect/>
                                          </a:stretch>
                                        </pic:blipFill>
                                        <pic:spPr bwMode="auto">
                                          <a:xfrm>
                                            <a:off x="0" y="0"/>
                                            <a:ext cx="190500" cy="17145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5929" w:type="dxa"/>
            <w:tcBorders>
              <w:bottom w:val="single" w:sz="2" w:space="0" w:color="666666"/>
            </w:tcBorders>
            <w:tcMar>
              <w:bottom w:w="64" w:type="dxa"/>
            </w:tcMar>
            <w:vAlign w:val="center"/>
          </w:tcPr>
          <w:p>
            <w:pPr>
              <w:pStyle w:val="TableContents"/>
              <w:bidi w:val="0"/>
              <w:spacing w:lineRule="atLeast" w:line="255" w:before="0" w:after="0"/>
              <w:jc w:val="left"/>
              <w:rPr>
                <w:spacing w:val="-1"/>
              </w:rPr>
            </w:pPr>
            <w:r>
              <w:rPr>
                <w:spacing w:val="-1"/>
              </w:rPr>
              <w:t xml:space="preserve">If there is a change in control, outstanding equity awards that are assumed by a buyer will vest only if there is both a change-in-control and an involuntary termination of employment (a “double trigger”). </w:t>
            </w:r>
          </w:p>
        </w:tc>
        <w:tc>
          <w:tcPr>
            <w:tcW w:w="155"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2846" w:type="dxa"/>
            <w:tcBorders>
              <w:bottom w:val="single" w:sz="2" w:space="0" w:color="666666"/>
            </w:tcBorders>
            <w:tcMar>
              <w:bottom w:w="64" w:type="dxa"/>
            </w:tcMar>
            <w:vAlign w:val="center"/>
          </w:tcPr>
          <w:p>
            <w:pPr>
              <w:pStyle w:val="TableContents"/>
              <w:bidi w:val="0"/>
              <w:spacing w:lineRule="atLeast" w:line="185" w:before="132" w:after="0"/>
              <w:ind w:left="480" w:right="0" w:hanging="0"/>
              <w:jc w:val="left"/>
              <w:rPr>
                <w:b/>
              </w:rPr>
            </w:pPr>
            <w:r>
              <w:rPr>
                <w:b/>
                <w:spacing w:val="0"/>
              </w:rPr>
              <w:t>Stock Ownership Guidelines</w:t>
            </w:r>
            <w:r>
              <w:rPr>
                <w:b/>
              </w:rPr>
              <w:t xml:space="preserve"> </w:t>
            </w:r>
            <w:r>
              <mc:AlternateContent>
                <mc:Choice Requires="wps">
                  <w:drawing>
                    <wp:anchor behindDoc="0" distT="0" distB="0" distL="0" distR="0" simplePos="0" locked="0" layoutInCell="1" allowOverlap="1" relativeHeight="131">
                      <wp:simplePos x="0" y="0"/>
                      <wp:positionH relativeFrom="column">
                        <wp:align>left</wp:align>
                      </wp:positionH>
                      <wp:positionV relativeFrom="line">
                        <wp:posOffset>635</wp:posOffset>
                      </wp:positionV>
                      <wp:extent cx="304800" cy="204470"/>
                      <wp:effectExtent l="0" t="0" r="0" b="0"/>
                      <wp:wrapSquare wrapText="right"/>
                      <wp:docPr id="370" name="Frame162"/>
                      <a:graphic xmlns:a="http://schemas.openxmlformats.org/drawingml/2006/main">
                        <a:graphicData uri="http://schemas.microsoft.com/office/word/2010/wordprocessingShape">
                          <wps:wsp>
                            <wps:cNvSpPr txBox="1"/>
                            <wps:spPr>
                              <a:xfrm>
                                <a:off x="0" y="0"/>
                                <a:ext cx="304800" cy="204470"/>
                              </a:xfrm>
                              <a:prstGeom prst="rect"/>
                              <a:solidFill>
                                <a:srgbClr val="FFFFFF"/>
                              </a:solidFill>
                            </wps:spPr>
                            <wps:txbx>
                              <w:txbxContent>
                                <w:p>
                                  <w:pPr>
                                    <w:pStyle w:val="TextBody"/>
                                    <w:bidi w:val="0"/>
                                    <w:spacing w:lineRule="atLeast" w:line="185" w:before="0" w:after="283"/>
                                    <w:jc w:val="left"/>
                                    <w:rPr/>
                                  </w:pPr>
                                  <w:r>
                                    <w:rPr/>
                                    <w:drawing>
                                      <wp:inline distT="0" distB="0" distL="0" distR="0">
                                        <wp:extent cx="190500" cy="171450"/>
                                        <wp:effectExtent l="0" t="0" r="0" b="0"/>
                                        <wp:docPr id="371"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193" descr=""/>
                                                <pic:cNvPicPr>
                                                  <a:picLocks noChangeAspect="1" noChangeArrowheads="1"/>
                                                </pic:cNvPicPr>
                                              </pic:nvPicPr>
                                              <pic:blipFill>
                                                <a:blip r:embed="rId210"/>
                                                <a:stretch>
                                                  <a:fillRect/>
                                                </a:stretch>
                                              </pic:blipFill>
                                              <pic:spPr bwMode="auto">
                                                <a:xfrm>
                                                  <a:off x="0" y="0"/>
                                                  <a:ext cx="190500" cy="17145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4pt;height:16.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5" w:before="0" w:after="283"/>
                              <w:jc w:val="left"/>
                              <w:rPr/>
                            </w:pPr>
                            <w:r>
                              <w:rPr/>
                              <w:drawing>
                                <wp:inline distT="0" distB="0" distL="0" distR="0">
                                  <wp:extent cx="190500" cy="171450"/>
                                  <wp:effectExtent l="0" t="0" r="0" b="0"/>
                                  <wp:docPr id="372"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193" descr=""/>
                                          <pic:cNvPicPr>
                                            <a:picLocks noChangeAspect="1" noChangeArrowheads="1"/>
                                          </pic:cNvPicPr>
                                        </pic:nvPicPr>
                                        <pic:blipFill>
                                          <a:blip r:embed="rId211"/>
                                          <a:stretch>
                                            <a:fillRect/>
                                          </a:stretch>
                                        </pic:blipFill>
                                        <pic:spPr bwMode="auto">
                                          <a:xfrm>
                                            <a:off x="0" y="0"/>
                                            <a:ext cx="190500" cy="17145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5929" w:type="dxa"/>
            <w:tcBorders>
              <w:bottom w:val="single" w:sz="2" w:space="0" w:color="666666"/>
            </w:tcBorders>
            <w:tcMar>
              <w:bottom w:w="64" w:type="dxa"/>
            </w:tcMar>
            <w:vAlign w:val="center"/>
          </w:tcPr>
          <w:p>
            <w:pPr>
              <w:pStyle w:val="TableContents"/>
              <w:bidi w:val="0"/>
              <w:spacing w:lineRule="atLeast" w:line="255" w:before="0" w:after="0"/>
              <w:jc w:val="left"/>
              <w:rPr>
                <w:spacing w:val="-1"/>
              </w:rPr>
            </w:pPr>
            <w:r>
              <w:rPr>
                <w:spacing w:val="-1"/>
              </w:rPr>
              <w:t xml:space="preserve">Our executive officers and directors are required to maintain certain levels of stock ownership. </w:t>
            </w:r>
          </w:p>
        </w:tc>
        <w:tc>
          <w:tcPr>
            <w:tcW w:w="155"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2846" w:type="dxa"/>
            <w:tcBorders>
              <w:bottom w:val="single" w:sz="2" w:space="0" w:color="666666"/>
            </w:tcBorders>
            <w:tcMar>
              <w:bottom w:w="88" w:type="dxa"/>
            </w:tcMar>
            <w:vAlign w:val="center"/>
          </w:tcPr>
          <w:p>
            <w:pPr>
              <w:pStyle w:val="TableContents"/>
              <w:bidi w:val="0"/>
              <w:spacing w:lineRule="atLeast" w:line="185" w:before="132" w:after="0"/>
              <w:ind w:left="480" w:right="0" w:hanging="0"/>
              <w:jc w:val="left"/>
              <w:rPr>
                <w:b/>
              </w:rPr>
            </w:pPr>
            <w:r>
              <w:rPr>
                <w:b/>
                <w:spacing w:val="0"/>
              </w:rPr>
              <w:t>Annual Say-on-Pay Vote</w:t>
            </w:r>
            <w:r>
              <w:rPr>
                <w:b/>
              </w:rPr>
              <w:t xml:space="preserve"> </w:t>
            </w:r>
            <w:r>
              <mc:AlternateContent>
                <mc:Choice Requires="wps">
                  <w:drawing>
                    <wp:anchor behindDoc="0" distT="0" distB="0" distL="0" distR="0" simplePos="0" locked="0" layoutInCell="1" allowOverlap="1" relativeHeight="174">
                      <wp:simplePos x="0" y="0"/>
                      <wp:positionH relativeFrom="column">
                        <wp:align>left</wp:align>
                      </wp:positionH>
                      <wp:positionV relativeFrom="line">
                        <wp:posOffset>635</wp:posOffset>
                      </wp:positionV>
                      <wp:extent cx="304800" cy="204470"/>
                      <wp:effectExtent l="0" t="0" r="0" b="0"/>
                      <wp:wrapSquare wrapText="right"/>
                      <wp:docPr id="373" name="Frame163"/>
                      <a:graphic xmlns:a="http://schemas.openxmlformats.org/drawingml/2006/main">
                        <a:graphicData uri="http://schemas.microsoft.com/office/word/2010/wordprocessingShape">
                          <wps:wsp>
                            <wps:cNvSpPr txBox="1"/>
                            <wps:spPr>
                              <a:xfrm>
                                <a:off x="0" y="0"/>
                                <a:ext cx="304800" cy="204470"/>
                              </a:xfrm>
                              <a:prstGeom prst="rect"/>
                              <a:solidFill>
                                <a:srgbClr val="FFFFFF"/>
                              </a:solidFill>
                            </wps:spPr>
                            <wps:txbx>
                              <w:txbxContent>
                                <w:p>
                                  <w:pPr>
                                    <w:pStyle w:val="TextBody"/>
                                    <w:bidi w:val="0"/>
                                    <w:spacing w:lineRule="atLeast" w:line="185" w:before="0" w:after="283"/>
                                    <w:jc w:val="left"/>
                                    <w:rPr/>
                                  </w:pPr>
                                  <w:r>
                                    <w:rPr/>
                                    <w:drawing>
                                      <wp:inline distT="0" distB="0" distL="0" distR="0">
                                        <wp:extent cx="190500" cy="171450"/>
                                        <wp:effectExtent l="0" t="0" r="0" b="0"/>
                                        <wp:docPr id="374"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194" descr=""/>
                                                <pic:cNvPicPr>
                                                  <a:picLocks noChangeAspect="1" noChangeArrowheads="1"/>
                                                </pic:cNvPicPr>
                                              </pic:nvPicPr>
                                              <pic:blipFill>
                                                <a:blip r:embed="rId212"/>
                                                <a:stretch>
                                                  <a:fillRect/>
                                                </a:stretch>
                                              </pic:blipFill>
                                              <pic:spPr bwMode="auto">
                                                <a:xfrm>
                                                  <a:off x="0" y="0"/>
                                                  <a:ext cx="190500" cy="17145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4pt;height:16.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5" w:before="0" w:after="283"/>
                              <w:jc w:val="left"/>
                              <w:rPr/>
                            </w:pPr>
                            <w:r>
                              <w:rPr/>
                              <w:drawing>
                                <wp:inline distT="0" distB="0" distL="0" distR="0">
                                  <wp:extent cx="190500" cy="171450"/>
                                  <wp:effectExtent l="0" t="0" r="0" b="0"/>
                                  <wp:docPr id="375"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194" descr=""/>
                                          <pic:cNvPicPr>
                                            <a:picLocks noChangeAspect="1" noChangeArrowheads="1"/>
                                          </pic:cNvPicPr>
                                        </pic:nvPicPr>
                                        <pic:blipFill>
                                          <a:blip r:embed="rId213"/>
                                          <a:stretch>
                                            <a:fillRect/>
                                          </a:stretch>
                                        </pic:blipFill>
                                        <pic:spPr bwMode="auto">
                                          <a:xfrm>
                                            <a:off x="0" y="0"/>
                                            <a:ext cx="190500" cy="17145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5929" w:type="dxa"/>
            <w:tcBorders>
              <w:bottom w:val="single" w:sz="2" w:space="0" w:color="666666"/>
            </w:tcBorders>
            <w:tcMar>
              <w:bottom w:w="88" w:type="dxa"/>
            </w:tcMar>
            <w:vAlign w:val="center"/>
          </w:tcPr>
          <w:p>
            <w:pPr>
              <w:pStyle w:val="TableContents"/>
              <w:bidi w:val="0"/>
              <w:spacing w:lineRule="atLeast" w:line="255" w:before="0" w:after="0"/>
              <w:jc w:val="left"/>
              <w:rPr>
                <w:spacing w:val="-1"/>
              </w:rPr>
            </w:pPr>
            <w:r>
              <w:rPr>
                <w:spacing w:val="-1"/>
              </w:rPr>
              <w:t xml:space="preserve">We conduct an annual advisory say-on-pay vote on our NEO compensation. </w:t>
            </w:r>
          </w:p>
        </w:tc>
        <w:tc>
          <w:tcPr>
            <w:tcW w:w="155"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2846" w:type="dxa"/>
            <w:tcBorders>
              <w:bottom w:val="single" w:sz="2" w:space="0" w:color="666666"/>
            </w:tcBorders>
            <w:tcMar>
              <w:bottom w:w="64" w:type="dxa"/>
            </w:tcMar>
            <w:vAlign w:val="center"/>
          </w:tcPr>
          <w:p>
            <w:pPr>
              <w:pStyle w:val="TableContents"/>
              <w:bidi w:val="0"/>
              <w:spacing w:lineRule="atLeast" w:line="185" w:before="132" w:after="0"/>
              <w:ind w:left="480" w:right="0" w:hanging="0"/>
              <w:jc w:val="left"/>
              <w:rPr>
                <w:b/>
              </w:rPr>
            </w:pPr>
            <w:r>
              <w:rPr>
                <w:b/>
                <w:spacing w:val="0"/>
              </w:rPr>
              <w:t>Shareholder Engagement</w:t>
            </w:r>
            <w:r>
              <w:rPr>
                <w:b/>
              </w:rPr>
              <w:t xml:space="preserve"> </w:t>
            </w:r>
            <w:r>
              <mc:AlternateContent>
                <mc:Choice Requires="wps">
                  <w:drawing>
                    <wp:anchor behindDoc="0" distT="0" distB="0" distL="0" distR="0" simplePos="0" locked="0" layoutInCell="1" allowOverlap="1" relativeHeight="172">
                      <wp:simplePos x="0" y="0"/>
                      <wp:positionH relativeFrom="column">
                        <wp:align>left</wp:align>
                      </wp:positionH>
                      <wp:positionV relativeFrom="line">
                        <wp:posOffset>635</wp:posOffset>
                      </wp:positionV>
                      <wp:extent cx="304800" cy="204470"/>
                      <wp:effectExtent l="0" t="0" r="0" b="0"/>
                      <wp:wrapSquare wrapText="right"/>
                      <wp:docPr id="376" name="Frame164"/>
                      <a:graphic xmlns:a="http://schemas.openxmlformats.org/drawingml/2006/main">
                        <a:graphicData uri="http://schemas.microsoft.com/office/word/2010/wordprocessingShape">
                          <wps:wsp>
                            <wps:cNvSpPr txBox="1"/>
                            <wps:spPr>
                              <a:xfrm>
                                <a:off x="0" y="0"/>
                                <a:ext cx="304800" cy="204470"/>
                              </a:xfrm>
                              <a:prstGeom prst="rect"/>
                              <a:solidFill>
                                <a:srgbClr val="FFFFFF"/>
                              </a:solidFill>
                            </wps:spPr>
                            <wps:txbx>
                              <w:txbxContent>
                                <w:p>
                                  <w:pPr>
                                    <w:pStyle w:val="TextBody"/>
                                    <w:bidi w:val="0"/>
                                    <w:spacing w:lineRule="atLeast" w:line="185" w:before="0" w:after="283"/>
                                    <w:jc w:val="left"/>
                                    <w:rPr/>
                                  </w:pPr>
                                  <w:r>
                                    <w:rPr/>
                                    <w:drawing>
                                      <wp:inline distT="0" distB="0" distL="0" distR="0">
                                        <wp:extent cx="190500" cy="171450"/>
                                        <wp:effectExtent l="0" t="0" r="0" b="0"/>
                                        <wp:docPr id="377"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195" descr=""/>
                                                <pic:cNvPicPr>
                                                  <a:picLocks noChangeAspect="1" noChangeArrowheads="1"/>
                                                </pic:cNvPicPr>
                                              </pic:nvPicPr>
                                              <pic:blipFill>
                                                <a:blip r:embed="rId214"/>
                                                <a:stretch>
                                                  <a:fillRect/>
                                                </a:stretch>
                                              </pic:blipFill>
                                              <pic:spPr bwMode="auto">
                                                <a:xfrm>
                                                  <a:off x="0" y="0"/>
                                                  <a:ext cx="190500" cy="17145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4pt;height:16.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5" w:before="0" w:after="283"/>
                              <w:jc w:val="left"/>
                              <w:rPr/>
                            </w:pPr>
                            <w:r>
                              <w:rPr/>
                              <w:drawing>
                                <wp:inline distT="0" distB="0" distL="0" distR="0">
                                  <wp:extent cx="190500" cy="171450"/>
                                  <wp:effectExtent l="0" t="0" r="0" b="0"/>
                                  <wp:docPr id="378"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195" descr=""/>
                                          <pic:cNvPicPr>
                                            <a:picLocks noChangeAspect="1" noChangeArrowheads="1"/>
                                          </pic:cNvPicPr>
                                        </pic:nvPicPr>
                                        <pic:blipFill>
                                          <a:blip r:embed="rId215"/>
                                          <a:stretch>
                                            <a:fillRect/>
                                          </a:stretch>
                                        </pic:blipFill>
                                        <pic:spPr bwMode="auto">
                                          <a:xfrm>
                                            <a:off x="0" y="0"/>
                                            <a:ext cx="190500" cy="17145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5929" w:type="dxa"/>
            <w:tcBorders>
              <w:bottom w:val="single" w:sz="2" w:space="0" w:color="666666"/>
            </w:tcBorders>
            <w:tcMar>
              <w:bottom w:w="64" w:type="dxa"/>
            </w:tcMar>
            <w:vAlign w:val="center"/>
          </w:tcPr>
          <w:p>
            <w:pPr>
              <w:pStyle w:val="TableContents"/>
              <w:bidi w:val="0"/>
              <w:spacing w:lineRule="atLeast" w:line="255" w:before="0" w:after="0"/>
              <w:jc w:val="left"/>
              <w:rPr>
                <w:spacing w:val="-1"/>
              </w:rPr>
            </w:pPr>
            <w:r>
              <w:rPr>
                <w:spacing w:val="-1"/>
              </w:rPr>
              <w:t xml:space="preserve">We are committed to ongoing engagement with our shareholders regarding matters such as executive compensation, corporate governance, and sustainability priorities. </w:t>
            </w:r>
          </w:p>
        </w:tc>
        <w:tc>
          <w:tcPr>
            <w:tcW w:w="155"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2846" w:type="dxa"/>
            <w:tcBorders>
              <w:bottom w:val="single" w:sz="2" w:space="0" w:color="666666"/>
            </w:tcBorders>
            <w:tcMar>
              <w:bottom w:w="64" w:type="dxa"/>
            </w:tcMar>
            <w:vAlign w:val="center"/>
          </w:tcPr>
          <w:p>
            <w:pPr>
              <w:pStyle w:val="TableContents"/>
              <w:bidi w:val="0"/>
              <w:spacing w:lineRule="atLeast" w:line="255" w:before="92" w:after="0"/>
              <w:ind w:left="480" w:right="0" w:hanging="0"/>
              <w:jc w:val="left"/>
              <w:rPr/>
            </w:pPr>
            <w:r>
              <w:rPr>
                <w:b/>
                <w:spacing w:val="0"/>
              </w:rPr>
              <w:t>Compensation Risk</w:t>
            </w:r>
            <w:r>
              <w:rPr>
                <w:b/>
                <w:spacing w:val="-2"/>
              </w:rPr>
              <w:t xml:space="preserve"> </w:t>
            </w:r>
            <w:r>
              <w:rPr>
                <w:bCs/>
                <w:spacing w:val="0"/>
              </w:rPr>
              <w:t>﻿</w:t>
            </w:r>
            <w:r>
              <w:rPr>
                <w:b/>
                <w:spacing w:val="0"/>
              </w:rPr>
              <w:t>Assessment</w:t>
            </w:r>
            <w:r>
              <w:rPr>
                <w:b/>
              </w:rPr>
              <w:t xml:space="preserve"> </w:t>
            </w:r>
            <w:r>
              <mc:AlternateContent>
                <mc:Choice Requires="wps">
                  <w:drawing>
                    <wp:anchor behindDoc="0" distT="0" distB="0" distL="0" distR="0" simplePos="0" locked="0" layoutInCell="1" allowOverlap="1" relativeHeight="170">
                      <wp:simplePos x="0" y="0"/>
                      <wp:positionH relativeFrom="column">
                        <wp:align>left</wp:align>
                      </wp:positionH>
                      <wp:positionV relativeFrom="line">
                        <wp:posOffset>635</wp:posOffset>
                      </wp:positionV>
                      <wp:extent cx="304800" cy="204470"/>
                      <wp:effectExtent l="0" t="0" r="0" b="0"/>
                      <wp:wrapSquare wrapText="right"/>
                      <wp:docPr id="379" name="Frame165"/>
                      <a:graphic xmlns:a="http://schemas.openxmlformats.org/drawingml/2006/main">
                        <a:graphicData uri="http://schemas.microsoft.com/office/word/2010/wordprocessingShape">
                          <wps:wsp>
                            <wps:cNvSpPr txBox="1"/>
                            <wps:spPr>
                              <a:xfrm>
                                <a:off x="0" y="0"/>
                                <a:ext cx="304800" cy="204470"/>
                              </a:xfrm>
                              <a:prstGeom prst="rect"/>
                              <a:solidFill>
                                <a:srgbClr val="FFFFFF"/>
                              </a:solidFill>
                            </wps:spPr>
                            <wps:txbx>
                              <w:txbxContent>
                                <w:p>
                                  <w:pPr>
                                    <w:pStyle w:val="TextBody"/>
                                    <w:bidi w:val="0"/>
                                    <w:spacing w:lineRule="atLeast" w:line="255" w:before="0" w:after="283"/>
                                    <w:jc w:val="left"/>
                                    <w:rPr/>
                                  </w:pPr>
                                  <w:r>
                                    <w:rPr/>
                                    <w:drawing>
                                      <wp:inline distT="0" distB="0" distL="0" distR="0">
                                        <wp:extent cx="190500" cy="171450"/>
                                        <wp:effectExtent l="0" t="0" r="0" b="0"/>
                                        <wp:docPr id="380"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196" descr=""/>
                                                <pic:cNvPicPr>
                                                  <a:picLocks noChangeAspect="1" noChangeArrowheads="1"/>
                                                </pic:cNvPicPr>
                                              </pic:nvPicPr>
                                              <pic:blipFill>
                                                <a:blip r:embed="rId216"/>
                                                <a:stretch>
                                                  <a:fillRect/>
                                                </a:stretch>
                                              </pic:blipFill>
                                              <pic:spPr bwMode="auto">
                                                <a:xfrm>
                                                  <a:off x="0" y="0"/>
                                                  <a:ext cx="190500" cy="17145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4pt;height:16.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55" w:before="0" w:after="283"/>
                              <w:jc w:val="left"/>
                              <w:rPr/>
                            </w:pPr>
                            <w:r>
                              <w:rPr/>
                              <w:drawing>
                                <wp:inline distT="0" distB="0" distL="0" distR="0">
                                  <wp:extent cx="190500" cy="171450"/>
                                  <wp:effectExtent l="0" t="0" r="0" b="0"/>
                                  <wp:docPr id="381"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196" descr=""/>
                                          <pic:cNvPicPr>
                                            <a:picLocks noChangeAspect="1" noChangeArrowheads="1"/>
                                          </pic:cNvPicPr>
                                        </pic:nvPicPr>
                                        <pic:blipFill>
                                          <a:blip r:embed="rId217"/>
                                          <a:stretch>
                                            <a:fillRect/>
                                          </a:stretch>
                                        </pic:blipFill>
                                        <pic:spPr bwMode="auto">
                                          <a:xfrm>
                                            <a:off x="0" y="0"/>
                                            <a:ext cx="190500" cy="17145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5929" w:type="dxa"/>
            <w:tcBorders>
              <w:bottom w:val="single" w:sz="2" w:space="0" w:color="666666"/>
            </w:tcBorders>
            <w:tcMar>
              <w:bottom w:w="64" w:type="dxa"/>
            </w:tcMar>
            <w:vAlign w:val="center"/>
          </w:tcPr>
          <w:p>
            <w:pPr>
              <w:pStyle w:val="TableContents"/>
              <w:bidi w:val="0"/>
              <w:spacing w:lineRule="atLeast" w:line="255" w:before="0" w:after="0"/>
              <w:jc w:val="left"/>
              <w:rPr>
                <w:spacing w:val="-1"/>
              </w:rPr>
            </w:pPr>
            <w:r>
              <w:rPr>
                <w:spacing w:val="-1"/>
              </w:rPr>
              <w:t xml:space="preserve">We conduct a compensation risk assessment to ensure that our compensation programs do not present any risks that are reasonably likely to have a material adverse effect on the Company. </w:t>
            </w:r>
          </w:p>
        </w:tc>
        <w:tc>
          <w:tcPr>
            <w:tcW w:w="155"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2846" w:type="dxa"/>
            <w:tcBorders>
              <w:bottom w:val="single" w:sz="2" w:space="0" w:color="666666"/>
            </w:tcBorders>
            <w:tcMar>
              <w:bottom w:w="64" w:type="dxa"/>
            </w:tcMar>
            <w:vAlign w:val="center"/>
          </w:tcPr>
          <w:p>
            <w:pPr>
              <w:pStyle w:val="TableContents"/>
              <w:bidi w:val="0"/>
              <w:spacing w:lineRule="atLeast" w:line="185" w:before="132" w:after="0"/>
              <w:ind w:left="480" w:right="0" w:hanging="0"/>
              <w:jc w:val="left"/>
              <w:rPr>
                <w:b/>
              </w:rPr>
            </w:pPr>
            <w:r>
              <w:rPr>
                <w:b/>
                <w:spacing w:val="0"/>
              </w:rPr>
              <w:t>Clawback Policy</w:t>
            </w:r>
            <w:r>
              <w:rPr>
                <w:b/>
              </w:rPr>
              <w:t xml:space="preserve"> </w:t>
            </w:r>
            <w:r>
              <mc:AlternateContent>
                <mc:Choice Requires="wps">
                  <w:drawing>
                    <wp:anchor behindDoc="0" distT="0" distB="0" distL="0" distR="0" simplePos="0" locked="0" layoutInCell="1" allowOverlap="1" relativeHeight="165">
                      <wp:simplePos x="0" y="0"/>
                      <wp:positionH relativeFrom="column">
                        <wp:align>left</wp:align>
                      </wp:positionH>
                      <wp:positionV relativeFrom="line">
                        <wp:posOffset>635</wp:posOffset>
                      </wp:positionV>
                      <wp:extent cx="304800" cy="204470"/>
                      <wp:effectExtent l="0" t="0" r="0" b="0"/>
                      <wp:wrapSquare wrapText="right"/>
                      <wp:docPr id="382" name="Frame166"/>
                      <a:graphic xmlns:a="http://schemas.openxmlformats.org/drawingml/2006/main">
                        <a:graphicData uri="http://schemas.microsoft.com/office/word/2010/wordprocessingShape">
                          <wps:wsp>
                            <wps:cNvSpPr txBox="1"/>
                            <wps:spPr>
                              <a:xfrm>
                                <a:off x="0" y="0"/>
                                <a:ext cx="304800" cy="204470"/>
                              </a:xfrm>
                              <a:prstGeom prst="rect"/>
                              <a:solidFill>
                                <a:srgbClr val="FFFFFF"/>
                              </a:solidFill>
                            </wps:spPr>
                            <wps:txbx>
                              <w:txbxContent>
                                <w:p>
                                  <w:pPr>
                                    <w:pStyle w:val="TextBody"/>
                                    <w:bidi w:val="0"/>
                                    <w:spacing w:lineRule="atLeast" w:line="185" w:before="0" w:after="283"/>
                                    <w:jc w:val="left"/>
                                    <w:rPr/>
                                  </w:pPr>
                                  <w:r>
                                    <w:rPr/>
                                    <w:drawing>
                                      <wp:inline distT="0" distB="0" distL="0" distR="0">
                                        <wp:extent cx="190500" cy="171450"/>
                                        <wp:effectExtent l="0" t="0" r="0" b="0"/>
                                        <wp:docPr id="383"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197" descr=""/>
                                                <pic:cNvPicPr>
                                                  <a:picLocks noChangeAspect="1" noChangeArrowheads="1"/>
                                                </pic:cNvPicPr>
                                              </pic:nvPicPr>
                                              <pic:blipFill>
                                                <a:blip r:embed="rId218"/>
                                                <a:stretch>
                                                  <a:fillRect/>
                                                </a:stretch>
                                              </pic:blipFill>
                                              <pic:spPr bwMode="auto">
                                                <a:xfrm>
                                                  <a:off x="0" y="0"/>
                                                  <a:ext cx="190500" cy="17145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4pt;height:16.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5" w:before="0" w:after="283"/>
                              <w:jc w:val="left"/>
                              <w:rPr/>
                            </w:pPr>
                            <w:r>
                              <w:rPr/>
                              <w:drawing>
                                <wp:inline distT="0" distB="0" distL="0" distR="0">
                                  <wp:extent cx="190500" cy="171450"/>
                                  <wp:effectExtent l="0" t="0" r="0" b="0"/>
                                  <wp:docPr id="384"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197" descr=""/>
                                          <pic:cNvPicPr>
                                            <a:picLocks noChangeAspect="1" noChangeArrowheads="1"/>
                                          </pic:cNvPicPr>
                                        </pic:nvPicPr>
                                        <pic:blipFill>
                                          <a:blip r:embed="rId219"/>
                                          <a:stretch>
                                            <a:fillRect/>
                                          </a:stretch>
                                        </pic:blipFill>
                                        <pic:spPr bwMode="auto">
                                          <a:xfrm>
                                            <a:off x="0" y="0"/>
                                            <a:ext cx="190500" cy="17145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5929" w:type="dxa"/>
            <w:tcBorders>
              <w:bottom w:val="single" w:sz="2" w:space="0" w:color="666666"/>
            </w:tcBorders>
            <w:tcMar>
              <w:bottom w:w="64" w:type="dxa"/>
            </w:tcMar>
            <w:vAlign w:val="center"/>
          </w:tcPr>
          <w:p>
            <w:pPr>
              <w:pStyle w:val="TableContents"/>
              <w:bidi w:val="0"/>
              <w:spacing w:lineRule="atLeast" w:line="255" w:before="0" w:after="0"/>
              <w:jc w:val="left"/>
              <w:rPr/>
            </w:pPr>
            <w:r>
              <w:rPr>
                <w:spacing w:val="-1"/>
              </w:rPr>
              <w:t>We maintain a clawback policy designed to recoup incentive compensation paid to executive officers based on erroneously prepared financial statements.</w:t>
            </w:r>
            <w:r>
              <w:rPr/>
              <w:t xml:space="preserve"> </w:t>
            </w:r>
          </w:p>
        </w:tc>
        <w:tc>
          <w:tcPr>
            <w:tcW w:w="155" w:type="dxa"/>
            <w:tcBorders>
              <w:bottom w:val="single" w:sz="2" w:space="0" w:color="666666"/>
            </w:tcBorders>
            <w:vAlign w:val="center"/>
          </w:tcPr>
          <w:p>
            <w:pPr>
              <w:pStyle w:val="TableContents"/>
              <w:bidi w:val="0"/>
              <w:spacing w:before="0" w:after="283"/>
              <w:jc w:val="left"/>
              <w:rPr/>
            </w:pPr>
            <w:r>
              <w:rPr/>
              <w:t>​</w:t>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53</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360" w:before="120" w:after="283"/>
        <w:ind w:left="893" w:right="40" w:hanging="0"/>
        <w:jc w:val="left"/>
        <w:rPr>
          <w:rFonts w:ascii="Tahoma;Geneva;sans-serif" w:hAnsi="Tahoma;Geneva;sans-serif"/>
          <w:b/>
          <w:i w:val="false"/>
          <w:caps w:val="false"/>
          <w:smallCaps w:val="false"/>
          <w:color w:val="4C4C4C"/>
          <w:sz w:val="32"/>
          <w:shd w:fill="FFFFFF" w:val="clear"/>
        </w:rPr>
      </w:pPr>
      <w:r>
        <w:rPr>
          <w:rFonts w:ascii="Tahoma;Geneva;sans-serif" w:hAnsi="Tahoma;Geneva;sans-serif"/>
          <w:b/>
          <w:i w:val="false"/>
          <w:caps w:val="false"/>
          <w:smallCaps w:val="false"/>
          <w:color w:val="4C4C4C"/>
          <w:sz w:val="32"/>
          <w:shd w:fill="FFFFFF" w:val="clear"/>
        </w:rPr>
        <w:t>What We Don’t Do</w:t>
      </w:r>
      <w:r>
        <w:rPr>
          <w:rFonts w:ascii="Tahoma;Geneva;sans-serif" w:hAnsi="Tahoma;Geneva;sans-serif"/>
          <w:b/>
          <w:i w:val="false"/>
          <w:caps w:val="false"/>
          <w:smallCaps w:val="false"/>
          <w:color w:val="000000"/>
          <w:spacing w:val="6"/>
          <w:sz w:val="32"/>
          <w:shd w:fill="FFFFFF" w:val="clear"/>
        </w:rPr>
        <w:t xml:space="preserve"> </w:t>
      </w:r>
    </w:p>
    <w:tbl>
      <w:tblPr>
        <w:tblW w:w="9272" w:type="dxa"/>
        <w:jc w:val="left"/>
        <w:tblInd w:w="893" w:type="dxa"/>
        <w:tblLayout w:type="fixed"/>
        <w:tblCellMar>
          <w:top w:w="0" w:type="dxa"/>
          <w:left w:w="0" w:type="dxa"/>
          <w:bottom w:w="28" w:type="dxa"/>
          <w:right w:w="0" w:type="dxa"/>
        </w:tblCellMar>
      </w:tblPr>
      <w:tblGrid>
        <w:gridCol w:w="124"/>
        <w:gridCol w:w="2539"/>
        <w:gridCol w:w="109"/>
        <w:gridCol w:w="109"/>
        <w:gridCol w:w="6236"/>
        <w:gridCol w:w="155"/>
      </w:tblGrid>
      <w:tr>
        <w:trPr/>
        <w:tc>
          <w:tcPr>
            <w:tcW w:w="124" w:type="dxa"/>
            <w:tcBorders>
              <w:bottom w:val="single" w:sz="2" w:space="0" w:color="666666"/>
            </w:tcBorders>
            <w:vAlign w:val="center"/>
          </w:tcPr>
          <w:p>
            <w:pPr>
              <w:pStyle w:val="TableContents"/>
              <w:bidi w:val="0"/>
              <w:spacing w:before="0" w:after="283"/>
              <w:jc w:val="left"/>
              <w:rPr/>
            </w:pPr>
            <w:r>
              <w:rPr/>
              <w:t>​</w:t>
            </w:r>
          </w:p>
        </w:tc>
        <w:tc>
          <w:tcPr>
            <w:tcW w:w="2539" w:type="dxa"/>
            <w:tcBorders>
              <w:bottom w:val="single" w:sz="2" w:space="0" w:color="666666"/>
            </w:tcBorders>
            <w:tcMar>
              <w:bottom w:w="84" w:type="dxa"/>
            </w:tcMar>
            <w:vAlign w:val="center"/>
          </w:tcPr>
          <w:p>
            <w:pPr>
              <w:pStyle w:val="TableContents"/>
              <w:bidi w:val="0"/>
              <w:spacing w:before="0" w:after="283"/>
              <w:jc w:val="left"/>
              <w:rPr>
                <w:spacing w:val="0"/>
              </w:rPr>
            </w:pPr>
            <w:r>
              <w:rPr>
                <w:spacing w:val="0"/>
              </w:rPr>
              <w:t xml:space="preserve">No Repricing of Underwater </w:t>
              <w:br/>
              <w:t xml:space="preserve">Stock Options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6236" w:type="dxa"/>
            <w:tcBorders>
              <w:bottom w:val="single" w:sz="2" w:space="0" w:color="666666"/>
            </w:tcBorders>
            <w:tcMar>
              <w:bottom w:w="84" w:type="dxa"/>
            </w:tcMar>
            <w:vAlign w:val="center"/>
          </w:tcPr>
          <w:p>
            <w:pPr>
              <w:pStyle w:val="TableContents"/>
              <w:bidi w:val="0"/>
              <w:spacing w:before="0" w:after="0"/>
              <w:jc w:val="left"/>
              <w:rPr>
                <w:b w:val="false"/>
                <w:spacing w:val="-1"/>
              </w:rPr>
            </w:pPr>
            <w:r>
              <w:rPr>
                <w:b w:val="false"/>
                <w:spacing w:val="-1"/>
              </w:rPr>
              <w:t xml:space="preserve">Our equity plan does not permit the repricing of stock options where the strike price exceeds the then-current fair market value without shareholder approval. </w:t>
            </w:r>
          </w:p>
        </w:tc>
        <w:tc>
          <w:tcPr>
            <w:tcW w:w="155"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2539" w:type="dxa"/>
            <w:tcBorders>
              <w:bottom w:val="single" w:sz="2" w:space="0" w:color="666666"/>
            </w:tcBorders>
            <w:tcMar>
              <w:bottom w:w="64" w:type="dxa"/>
            </w:tcMar>
            <w:vAlign w:val="center"/>
          </w:tcPr>
          <w:p>
            <w:pPr>
              <w:pStyle w:val="TableContents"/>
              <w:bidi w:val="0"/>
              <w:spacing w:before="0" w:after="283"/>
              <w:jc w:val="left"/>
              <w:rPr>
                <w:spacing w:val="0"/>
              </w:rPr>
            </w:pPr>
            <w:r>
              <w:rPr>
                <w:spacing w:val="0"/>
              </w:rPr>
              <w:t xml:space="preserve">No Hedging or Pledging of Company Securities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6236" w:type="dxa"/>
            <w:tcBorders>
              <w:bottom w:val="single" w:sz="2" w:space="0" w:color="666666"/>
            </w:tcBorders>
            <w:tcMar>
              <w:bottom w:w="64" w:type="dxa"/>
            </w:tcMar>
            <w:vAlign w:val="center"/>
          </w:tcPr>
          <w:p>
            <w:pPr>
              <w:pStyle w:val="TableContents"/>
              <w:bidi w:val="0"/>
              <w:spacing w:before="0" w:after="0"/>
              <w:jc w:val="left"/>
              <w:rPr>
                <w:b w:val="false"/>
                <w:spacing w:val="-1"/>
              </w:rPr>
            </w:pPr>
            <w:r>
              <w:rPr>
                <w:b w:val="false"/>
                <w:spacing w:val="-1"/>
              </w:rPr>
              <w:t xml:space="preserve">We prohibit executive officers and non-employee directors from engaging in hedging, pledging or short sale transactions in Company securities. </w:t>
            </w:r>
          </w:p>
        </w:tc>
        <w:tc>
          <w:tcPr>
            <w:tcW w:w="155"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2539" w:type="dxa"/>
            <w:tcBorders>
              <w:bottom w:val="single" w:sz="2" w:space="0" w:color="666666"/>
            </w:tcBorders>
            <w:tcMar>
              <w:bottom w:w="64" w:type="dxa"/>
            </w:tcMar>
            <w:vAlign w:val="center"/>
          </w:tcPr>
          <w:p>
            <w:pPr>
              <w:pStyle w:val="TableContents"/>
              <w:bidi w:val="0"/>
              <w:spacing w:before="0" w:after="0"/>
              <w:jc w:val="left"/>
              <w:rPr>
                <w:b/>
              </w:rPr>
            </w:pPr>
            <w:r>
              <w:rPr>
                <w:b/>
                <w:spacing w:val="0"/>
              </w:rPr>
              <w:t>No Dividends on Unearned Awards</w:t>
            </w:r>
            <w:r>
              <w:rPr>
                <w:b/>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6236" w:type="dxa"/>
            <w:tcBorders>
              <w:bottom w:val="single" w:sz="2" w:space="0" w:color="666666"/>
            </w:tcBorders>
            <w:tcMar>
              <w:bottom w:w="64" w:type="dxa"/>
            </w:tcMar>
            <w:vAlign w:val="center"/>
          </w:tcPr>
          <w:p>
            <w:pPr>
              <w:pStyle w:val="TableContents"/>
              <w:bidi w:val="0"/>
              <w:spacing w:before="0" w:after="283"/>
              <w:jc w:val="left"/>
              <w:rPr>
                <w:spacing w:val="-1"/>
              </w:rPr>
            </w:pPr>
            <w:r>
              <w:rPr>
                <w:spacing w:val="-1"/>
              </w:rPr>
              <w:t xml:space="preserve">Under our equity plan, we do not pay dividends or dividend equivalents on shares that a participant has not yet earned or that have not vested. </w:t>
            </w:r>
          </w:p>
        </w:tc>
        <w:tc>
          <w:tcPr>
            <w:tcW w:w="155"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2539" w:type="dxa"/>
            <w:tcBorders>
              <w:bottom w:val="single" w:sz="2" w:space="0" w:color="666666"/>
            </w:tcBorders>
            <w:tcMar>
              <w:bottom w:w="88" w:type="dxa"/>
            </w:tcMar>
            <w:vAlign w:val="center"/>
          </w:tcPr>
          <w:p>
            <w:pPr>
              <w:pStyle w:val="TableContents"/>
              <w:bidi w:val="0"/>
              <w:spacing w:before="0" w:after="283"/>
              <w:jc w:val="left"/>
              <w:rPr>
                <w:spacing w:val="0"/>
              </w:rPr>
            </w:pPr>
            <w:r>
              <w:rPr>
                <w:spacing w:val="0"/>
              </w:rPr>
              <w:t xml:space="preserve">Limited Perquisites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6236" w:type="dxa"/>
            <w:tcBorders>
              <w:bottom w:val="single" w:sz="2" w:space="0" w:color="666666"/>
            </w:tcBorders>
            <w:tcMar>
              <w:bottom w:w="88" w:type="dxa"/>
            </w:tcMar>
            <w:vAlign w:val="center"/>
          </w:tcPr>
          <w:p>
            <w:pPr>
              <w:pStyle w:val="TableContents"/>
              <w:bidi w:val="0"/>
              <w:spacing w:before="0" w:after="0"/>
              <w:jc w:val="left"/>
              <w:rPr>
                <w:b w:val="false"/>
                <w:spacing w:val="-1"/>
              </w:rPr>
            </w:pPr>
            <w:r>
              <w:rPr>
                <w:b w:val="false"/>
                <w:spacing w:val="-1"/>
              </w:rPr>
              <w:t xml:space="preserve">We do not provide excessive perks or personal benefits to executive officers. </w:t>
            </w:r>
          </w:p>
        </w:tc>
        <w:tc>
          <w:tcPr>
            <w:tcW w:w="155"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2539" w:type="dxa"/>
            <w:tcBorders>
              <w:bottom w:val="single" w:sz="2" w:space="0" w:color="666666"/>
            </w:tcBorders>
            <w:tcMar>
              <w:bottom w:w="88" w:type="dxa"/>
            </w:tcMar>
            <w:vAlign w:val="center"/>
          </w:tcPr>
          <w:p>
            <w:pPr>
              <w:pStyle w:val="TableContents"/>
              <w:bidi w:val="0"/>
              <w:spacing w:before="0" w:after="283"/>
              <w:jc w:val="left"/>
              <w:rPr>
                <w:spacing w:val="0"/>
              </w:rPr>
            </w:pPr>
            <w:r>
              <w:rPr>
                <w:spacing w:val="0"/>
              </w:rPr>
              <w:t xml:space="preserve">No Excise Tax Gross-Ups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6236" w:type="dxa"/>
            <w:tcBorders>
              <w:bottom w:val="single" w:sz="2" w:space="0" w:color="666666"/>
            </w:tcBorders>
            <w:tcMar>
              <w:bottom w:w="88" w:type="dxa"/>
            </w:tcMar>
            <w:vAlign w:val="center"/>
          </w:tcPr>
          <w:p>
            <w:pPr>
              <w:pStyle w:val="TableContents"/>
              <w:bidi w:val="0"/>
              <w:spacing w:before="0" w:after="0"/>
              <w:jc w:val="left"/>
              <w:rPr>
                <w:b w:val="false"/>
                <w:spacing w:val="-1"/>
              </w:rPr>
            </w:pPr>
            <w:r>
              <w:rPr>
                <w:b w:val="false"/>
                <w:spacing w:val="-1"/>
              </w:rPr>
              <w:t xml:space="preserve">We do not provide excise tax gross-ups on severance pay to executive officers. </w:t>
            </w:r>
          </w:p>
        </w:tc>
        <w:tc>
          <w:tcPr>
            <w:tcW w:w="155"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2539" w:type="dxa"/>
            <w:tcBorders>
              <w:bottom w:val="single" w:sz="2" w:space="0" w:color="666666"/>
            </w:tcBorders>
            <w:tcMar>
              <w:bottom w:w="64" w:type="dxa"/>
            </w:tcMar>
            <w:vAlign w:val="center"/>
          </w:tcPr>
          <w:p>
            <w:pPr>
              <w:pStyle w:val="TableContents"/>
              <w:bidi w:val="0"/>
              <w:spacing w:before="0" w:after="0"/>
              <w:jc w:val="left"/>
              <w:rPr>
                <w:b/>
                <w:spacing w:val="0"/>
              </w:rPr>
            </w:pPr>
            <w:r>
              <w:rPr>
                <w:b/>
                <w:spacing w:val="0"/>
              </w:rPr>
              <w:t xml:space="preserve">No Guaranteed Bonuses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6236" w:type="dxa"/>
            <w:tcBorders>
              <w:bottom w:val="single" w:sz="2" w:space="0" w:color="666666"/>
            </w:tcBorders>
            <w:tcMar>
              <w:bottom w:w="64" w:type="dxa"/>
            </w:tcMar>
            <w:vAlign w:val="center"/>
          </w:tcPr>
          <w:p>
            <w:pPr>
              <w:pStyle w:val="TableContents"/>
              <w:bidi w:val="0"/>
              <w:spacing w:before="0" w:after="283"/>
              <w:jc w:val="left"/>
              <w:rPr>
                <w:spacing w:val="-1"/>
              </w:rPr>
            </w:pPr>
            <w:r>
              <w:rPr>
                <w:spacing w:val="-1"/>
              </w:rPr>
              <w:t xml:space="preserve">We do not provide guaranteed performance bonuses to our executive officers in our regular annual program. </w:t>
            </w:r>
          </w:p>
        </w:tc>
        <w:tc>
          <w:tcPr>
            <w:tcW w:w="155"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2539" w:type="dxa"/>
            <w:tcBorders>
              <w:bottom w:val="single" w:sz="2" w:space="0" w:color="666666"/>
            </w:tcBorders>
            <w:tcMar>
              <w:bottom w:w="64" w:type="dxa"/>
            </w:tcMar>
            <w:vAlign w:val="center"/>
          </w:tcPr>
          <w:p>
            <w:pPr>
              <w:pStyle w:val="TableContents"/>
              <w:bidi w:val="0"/>
              <w:spacing w:before="0" w:after="283"/>
              <w:jc w:val="left"/>
              <w:rPr>
                <w:spacing w:val="0"/>
              </w:rPr>
            </w:pPr>
            <w:r>
              <w:rPr>
                <w:spacing w:val="0"/>
              </w:rPr>
              <w:t xml:space="preserve">No Backdating or Discounting Stock Options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6236" w:type="dxa"/>
            <w:tcBorders>
              <w:bottom w:val="single" w:sz="2" w:space="0" w:color="666666"/>
            </w:tcBorders>
            <w:tcMar>
              <w:bottom w:w="64" w:type="dxa"/>
            </w:tcMar>
            <w:vAlign w:val="center"/>
          </w:tcPr>
          <w:p>
            <w:pPr>
              <w:pStyle w:val="TableContents"/>
              <w:bidi w:val="0"/>
              <w:spacing w:before="0" w:after="0"/>
              <w:jc w:val="left"/>
              <w:rPr>
                <w:b w:val="false"/>
              </w:rPr>
            </w:pPr>
            <w:r>
              <w:rPr>
                <w:b w:val="false"/>
                <w:spacing w:val="-1"/>
              </w:rPr>
              <w:t>We do not backdate stock options or provide discounted stock options.</w:t>
            </w:r>
            <w:r>
              <w:rPr>
                <w:b w:val="false"/>
              </w:rPr>
              <w:t xml:space="preserve"> </w:t>
            </w:r>
          </w:p>
        </w:tc>
        <w:tc>
          <w:tcPr>
            <w:tcW w:w="155" w:type="dxa"/>
            <w:tcBorders>
              <w:bottom w:val="single" w:sz="2" w:space="0" w:color="666666"/>
            </w:tcBorders>
            <w:vAlign w:val="center"/>
          </w:tcPr>
          <w:p>
            <w:pPr>
              <w:pStyle w:val="TableContents"/>
              <w:bidi w:val="0"/>
              <w:spacing w:before="0" w:after="283"/>
              <w:jc w:val="left"/>
              <w:rPr/>
            </w:pPr>
            <w:r>
              <w:rPr/>
              <w:t>​</w:t>
            </w:r>
          </w:p>
        </w:tc>
      </w:tr>
    </w:tbl>
    <w:p>
      <w:pPr>
        <w:pStyle w:val="TextBody"/>
        <w:bidi w:val="0"/>
        <w:spacing w:lineRule="atLeast" w:line="440" w:before="574" w:after="283"/>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ROLE OF THE COMMITTEE</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Committee establishes the compensation philosophy and objectives, determines the structure, components and other elements of executive compensation, and reviews the compensation of the NEOs and recommends it for approval by the Board of Directors.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Committee structures the executive compensation program to accomplish articulated compensation objectives in light of the compensation philosophy described above.</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In accordance with its charter, the Committee establishes total compensation for the CEO (generally at the beginning of the fiscal year). The Committee reviews and evaluates the performance of the CEO and develops base salary and incentive compensation recommendations for the Board to consider. The CEO did not play any role with respect to any matter affecting his own compensation and was not present when the Committee discussed and formulated its recommendation for his compensation.</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With the input of the CEO, the Committee also established the compensation for all the other executive officers. As part of this process, the CEO evaluated the performance of the other executive officers and made recommendations to the Committee regarding the compensation of each executive officer. The Committee gave significant weight to the CEO’s recommendations considering his greater familiarity with the day-to-day performance of his direct reports and the importance of incentive compensation in driving the execution of managerial initiatives developed and led by Mr. Anderson. Nevertheless, the Committee and the Board made the ultimate determinations regarding the compensation for the executive officers.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Pursuant to its charter, the Committee is permitted to delegate its authority to the CEO to make certain equity grants to employees who are not Section 16 officers, its administrative duties with respect to certain retirement plans and the development of agendas and minutes.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ROLE OF THE INDEPENDENT COMPENSATION CONSULTANT</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Committee recognizes the importance of obtaining objective, independent expertise and advice in carrying out its responsibilities. The Committee has the power to retain an independent compensation consultant to assist in the performance of its duties and responsibilities.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pacing w:val="-1"/>
          <w:sz w:val="19"/>
          <w:shd w:fill="FFFFFF" w:val="clear"/>
        </w:rPr>
      </w:pPr>
      <w:r>
        <w:rPr>
          <w:rFonts w:ascii="Arial;Helvetica;sans-serif" w:hAnsi="Arial;Helvetica;sans-serif"/>
          <w:b w:val="false"/>
          <w:i w:val="false"/>
          <w:caps w:val="false"/>
          <w:smallCaps w:val="false"/>
          <w:color w:val="000000"/>
          <w:spacing w:val="-1"/>
          <w:sz w:val="19"/>
          <w:shd w:fill="FFFFFF" w:val="clear"/>
        </w:rPr>
        <w:t xml:space="preserve">The Committee has retained the services of Compensia, Inc. (“Compensia”) as its independent compensation consultant since June 2025. Compensia reports directly to the Committee, and the Committee had the sole authority to retain, terminate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54</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20" w:after="283"/>
        <w:ind w:left="89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and obtain the advice of independent advisors at Coherent’s expense. Representatives of Compensia, as applicable, met informally with the Chair of the Committee and formally with the full Committee during its regularly scheduled meetings, including in executive sessions without management present from time to time.</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In fiscal 2026, the Committee worked with Compensia to provide a competitive market analysis of the base salary, annual cash incentive awards and long-term incentive compensation of our executive officers compared against the compensation peer group, report on share utilization, assess compensation risk and review other market practices and trends and regulatory developments. While the Committee took into consideration the review and recommendations of Compensia when making decisions about the executive compensation program, ultimately, the Committee made its own independent decisions about compensation matters.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Committee assessed the independence of Compensia pursuant to SEC and NYSE rules. In doing so, the Committee considered each of the factors set forth by the SEC and the NYSE with respect to a compensation consultant’s independence, including the fact that neither consultant provided other services to the Company. The Committee also considered the nature and amount of work performed for the Committee and the fees paid for those services in relation to each firm’s total revenues. Based on its consideration of the foregoing and other relevant factors, the Committee concluded that there were no conflicts of interest, and that Compensia is independent.</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EXECUTIVE COMPENSATION COMPETITIVE MARKET INFORMATION</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Each year, the Committee reassesses the group of peer companies used as a reference point for evaluating executive compensation to ensure its continued appropriateness.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In making determinations about executive compensation, the Committee believes that obtaining relevant market data is important, because it serves as a reference point for making decisions and provides helpful context. When making decisions about the structure and component mix of the executive compensation program, the Committee considers the structure and components of, and the amounts paid under, the executive compensation programs of other comparable peer companies, as derived from public filings and other sources.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Committee, with the assistance of Compensia, developed a peer group in the second half of fiscal year 2025. The criteria used to determine the peer group generally included: companies in the electronic components sector; revenue in the range of approximately 1/3 to 3 times Coherent’s revenue; and market capitalization in the range of 1/4 to 4 times Coherent’s market capitalization.</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Based on these criteria and considerations, the peer group that was used to inform fiscal year 2026 executive compensation decisions, as approved by the Committee, consisted of the following 20 companies: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360" w:before="280" w:after="283"/>
        <w:jc w:val="left"/>
        <w:rPr>
          <w:rFonts w:ascii="Tahoma;Geneva;sans-serif" w:hAnsi="Tahoma;Geneva;sans-serif"/>
          <w:b/>
          <w:i w:val="false"/>
          <w:caps w:val="false"/>
          <w:smallCaps w:val="false"/>
          <w:color w:val="4C4C4C"/>
          <w:sz w:val="32"/>
          <w:shd w:fill="FFFFFF" w:val="clear"/>
        </w:rPr>
      </w:pPr>
      <w:r>
        <w:rPr>
          <w:rFonts w:ascii="Tahoma;Geneva;sans-serif" w:hAnsi="Tahoma;Geneva;sans-serif"/>
          <w:b/>
          <w:i w:val="false"/>
          <w:caps w:val="false"/>
          <w:smallCaps w:val="false"/>
          <w:color w:val="4C4C4C"/>
          <w:sz w:val="32"/>
          <w:shd w:fill="FFFFFF" w:val="clear"/>
        </w:rPr>
        <w:t>Fiscal Year 2026 Peer Group</w:t>
      </w:r>
      <w:r>
        <w:rPr>
          <w:rFonts w:ascii="Tahoma;Geneva;sans-serif" w:hAnsi="Tahoma;Geneva;sans-serif"/>
          <w:b/>
          <w:i w:val="false"/>
          <w:caps w:val="false"/>
          <w:smallCaps w:val="false"/>
          <w:color w:val="000000"/>
          <w:spacing w:val="6"/>
          <w:sz w:val="32"/>
          <w:shd w:fill="FFFFFF" w:val="clear"/>
        </w:rPr>
        <w:t xml:space="preserve"> </w:t>
      </w:r>
    </w:p>
    <w:tbl>
      <w:tblPr>
        <w:tblW w:w="9272" w:type="dxa"/>
        <w:jc w:val="left"/>
        <w:tblInd w:w="893" w:type="dxa"/>
        <w:tblLayout w:type="fixed"/>
        <w:tblCellMar>
          <w:top w:w="0" w:type="dxa"/>
          <w:left w:w="0" w:type="dxa"/>
          <w:bottom w:w="28" w:type="dxa"/>
          <w:right w:w="0" w:type="dxa"/>
        </w:tblCellMar>
      </w:tblPr>
      <w:tblGrid>
        <w:gridCol w:w="124"/>
        <w:gridCol w:w="2745"/>
        <w:gridCol w:w="109"/>
        <w:gridCol w:w="109"/>
        <w:gridCol w:w="2836"/>
        <w:gridCol w:w="109"/>
        <w:gridCol w:w="109"/>
        <w:gridCol w:w="2975"/>
        <w:gridCol w:w="156"/>
      </w:tblGrid>
      <w:tr>
        <w:trPr/>
        <w:tc>
          <w:tcPr>
            <w:tcW w:w="124" w:type="dxa"/>
            <w:tcBorders>
              <w:bottom w:val="single" w:sz="2" w:space="0" w:color="666666"/>
            </w:tcBorders>
            <w:vAlign w:val="center"/>
          </w:tcPr>
          <w:p>
            <w:pPr>
              <w:pStyle w:val="TableContents"/>
              <w:bidi w:val="0"/>
              <w:spacing w:before="0" w:after="283"/>
              <w:jc w:val="left"/>
              <w:rPr/>
            </w:pPr>
            <w:r>
              <w:rPr/>
              <w:t>​</w:t>
            </w:r>
          </w:p>
        </w:tc>
        <w:tc>
          <w:tcPr>
            <w:tcW w:w="2745" w:type="dxa"/>
            <w:tcBorders>
              <w:bottom w:val="single" w:sz="2" w:space="0" w:color="666666"/>
            </w:tcBorders>
            <w:tcMar>
              <w:bottom w:w="113" w:type="dxa"/>
            </w:tcMar>
            <w:vAlign w:val="center"/>
          </w:tcPr>
          <w:p>
            <w:pPr>
              <w:pStyle w:val="TableContents"/>
              <w:bidi w:val="0"/>
              <w:spacing w:before="0" w:after="283"/>
              <w:jc w:val="left"/>
              <w:rPr>
                <w:spacing w:val="-1"/>
              </w:rPr>
            </w:pPr>
            <w:r>
              <w:rPr>
                <w:spacing w:val="-1"/>
              </w:rPr>
              <w:t xml:space="preserve">Akamai Technologies (AKAM)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2836" w:type="dxa"/>
            <w:tcBorders>
              <w:bottom w:val="single" w:sz="2" w:space="0" w:color="666666"/>
            </w:tcBorders>
            <w:tcMar>
              <w:bottom w:w="113" w:type="dxa"/>
            </w:tcMar>
            <w:vAlign w:val="center"/>
          </w:tcPr>
          <w:p>
            <w:pPr>
              <w:pStyle w:val="TableContents"/>
              <w:bidi w:val="0"/>
              <w:spacing w:before="0" w:after="283"/>
              <w:jc w:val="left"/>
              <w:rPr>
                <w:spacing w:val="-1"/>
              </w:rPr>
            </w:pPr>
            <w:r>
              <w:rPr>
                <w:spacing w:val="-1"/>
              </w:rPr>
              <w:t xml:space="preserve">KLA Corporation (KLAC)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2975" w:type="dxa"/>
            <w:tcBorders>
              <w:bottom w:val="single" w:sz="2" w:space="0" w:color="666666"/>
            </w:tcBorders>
            <w:tcMar>
              <w:bottom w:w="113" w:type="dxa"/>
            </w:tcMar>
            <w:vAlign w:val="center"/>
          </w:tcPr>
          <w:p>
            <w:pPr>
              <w:pStyle w:val="TableContents"/>
              <w:bidi w:val="0"/>
              <w:spacing w:before="0" w:after="283"/>
              <w:jc w:val="left"/>
              <w:rPr>
                <w:spacing w:val="-1"/>
              </w:rPr>
            </w:pPr>
            <w:r>
              <w:rPr>
                <w:spacing w:val="-1"/>
              </w:rPr>
              <w:t xml:space="preserve">Qorvo, Inc. (QRVO) </w:t>
            </w:r>
          </w:p>
        </w:tc>
        <w:tc>
          <w:tcPr>
            <w:tcW w:w="156"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2745" w:type="dxa"/>
            <w:tcBorders>
              <w:bottom w:val="single" w:sz="2" w:space="0" w:color="666666"/>
            </w:tcBorders>
            <w:tcMar>
              <w:bottom w:w="93" w:type="dxa"/>
            </w:tcMar>
            <w:vAlign w:val="center"/>
          </w:tcPr>
          <w:p>
            <w:pPr>
              <w:pStyle w:val="TableContents"/>
              <w:bidi w:val="0"/>
              <w:spacing w:before="0" w:after="283"/>
              <w:jc w:val="left"/>
              <w:rPr>
                <w:spacing w:val="-1"/>
              </w:rPr>
            </w:pPr>
            <w:r>
              <w:rPr>
                <w:spacing w:val="-1"/>
              </w:rPr>
              <w:t xml:space="preserve">Arista Networks, Inc. (ANET)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2836" w:type="dxa"/>
            <w:tcBorders>
              <w:bottom w:val="single" w:sz="2" w:space="0" w:color="666666"/>
            </w:tcBorders>
            <w:tcMar>
              <w:bottom w:w="93" w:type="dxa"/>
            </w:tcMar>
            <w:vAlign w:val="center"/>
          </w:tcPr>
          <w:p>
            <w:pPr>
              <w:pStyle w:val="TableContents"/>
              <w:bidi w:val="0"/>
              <w:spacing w:before="0" w:after="283"/>
              <w:jc w:val="left"/>
              <w:rPr>
                <w:spacing w:val="-1"/>
              </w:rPr>
            </w:pPr>
            <w:r>
              <w:rPr>
                <w:spacing w:val="-1"/>
              </w:rPr>
              <w:t xml:space="preserve">Lumentum Holdings, Inc. (LITE)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2975" w:type="dxa"/>
            <w:tcBorders>
              <w:bottom w:val="single" w:sz="2" w:space="0" w:color="666666"/>
            </w:tcBorders>
            <w:tcMar>
              <w:bottom w:w="93" w:type="dxa"/>
            </w:tcMar>
            <w:vAlign w:val="center"/>
          </w:tcPr>
          <w:p>
            <w:pPr>
              <w:pStyle w:val="TableContents"/>
              <w:bidi w:val="0"/>
              <w:spacing w:before="0" w:after="283"/>
              <w:jc w:val="left"/>
              <w:rPr>
                <w:spacing w:val="-1"/>
              </w:rPr>
            </w:pPr>
            <w:r>
              <w:rPr>
                <w:spacing w:val="-1"/>
              </w:rPr>
              <w:t xml:space="preserve">Skyworks Solutions, Inc. (SWKS) </w:t>
            </w:r>
          </w:p>
        </w:tc>
        <w:tc>
          <w:tcPr>
            <w:tcW w:w="156"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2745" w:type="dxa"/>
            <w:tcBorders>
              <w:bottom w:val="single" w:sz="2" w:space="0" w:color="666666"/>
            </w:tcBorders>
            <w:tcMar>
              <w:bottom w:w="93" w:type="dxa"/>
            </w:tcMar>
            <w:vAlign w:val="center"/>
          </w:tcPr>
          <w:p>
            <w:pPr>
              <w:pStyle w:val="TableContents"/>
              <w:bidi w:val="0"/>
              <w:spacing w:before="0" w:after="283"/>
              <w:jc w:val="left"/>
              <w:rPr>
                <w:spacing w:val="-1"/>
              </w:rPr>
            </w:pPr>
            <w:r>
              <w:rPr>
                <w:spacing w:val="-1"/>
              </w:rPr>
              <w:t xml:space="preserve">Ciena Corporation (CIEN)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2836" w:type="dxa"/>
            <w:tcBorders>
              <w:bottom w:val="single" w:sz="2" w:space="0" w:color="666666"/>
            </w:tcBorders>
            <w:tcMar>
              <w:bottom w:w="93" w:type="dxa"/>
            </w:tcMar>
            <w:vAlign w:val="center"/>
          </w:tcPr>
          <w:p>
            <w:pPr>
              <w:pStyle w:val="TableContents"/>
              <w:bidi w:val="0"/>
              <w:spacing w:before="0" w:after="283"/>
              <w:jc w:val="left"/>
              <w:rPr>
                <w:spacing w:val="-1"/>
              </w:rPr>
            </w:pPr>
            <w:r>
              <w:rPr>
                <w:spacing w:val="-1"/>
              </w:rPr>
              <w:t xml:space="preserve">Marvell Technology (MRVL)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2975" w:type="dxa"/>
            <w:tcBorders>
              <w:bottom w:val="single" w:sz="2" w:space="0" w:color="666666"/>
            </w:tcBorders>
            <w:tcMar>
              <w:bottom w:w="93" w:type="dxa"/>
            </w:tcMar>
            <w:vAlign w:val="center"/>
          </w:tcPr>
          <w:p>
            <w:pPr>
              <w:pStyle w:val="TableContents"/>
              <w:bidi w:val="0"/>
              <w:spacing w:before="0" w:after="283"/>
              <w:jc w:val="left"/>
              <w:rPr>
                <w:spacing w:val="-1"/>
              </w:rPr>
            </w:pPr>
            <w:r>
              <w:rPr>
                <w:spacing w:val="-1"/>
              </w:rPr>
              <w:t xml:space="preserve">Teradyne (TER) </w:t>
            </w:r>
          </w:p>
        </w:tc>
        <w:tc>
          <w:tcPr>
            <w:tcW w:w="156"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2745" w:type="dxa"/>
            <w:tcBorders>
              <w:bottom w:val="single" w:sz="2" w:space="0" w:color="666666"/>
            </w:tcBorders>
            <w:tcMar>
              <w:bottom w:w="93" w:type="dxa"/>
            </w:tcMar>
            <w:vAlign w:val="center"/>
          </w:tcPr>
          <w:p>
            <w:pPr>
              <w:pStyle w:val="TableContents"/>
              <w:bidi w:val="0"/>
              <w:spacing w:before="0" w:after="283"/>
              <w:jc w:val="left"/>
              <w:rPr>
                <w:spacing w:val="-1"/>
              </w:rPr>
            </w:pPr>
            <w:r>
              <w:rPr>
                <w:spacing w:val="-1"/>
              </w:rPr>
              <w:t xml:space="preserve">Corning Incorporated (GLW)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2836" w:type="dxa"/>
            <w:tcBorders>
              <w:bottom w:val="single" w:sz="2" w:space="0" w:color="666666"/>
            </w:tcBorders>
            <w:tcMar>
              <w:bottom w:w="93" w:type="dxa"/>
            </w:tcMar>
            <w:vAlign w:val="center"/>
          </w:tcPr>
          <w:p>
            <w:pPr>
              <w:pStyle w:val="TableContents"/>
              <w:bidi w:val="0"/>
              <w:spacing w:before="0" w:after="283"/>
              <w:jc w:val="left"/>
              <w:rPr>
                <w:spacing w:val="-1"/>
              </w:rPr>
            </w:pPr>
            <w:r>
              <w:rPr>
                <w:spacing w:val="-1"/>
              </w:rPr>
              <w:t xml:space="preserve">MKS Instruments, Inc. (MKSI)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2975" w:type="dxa"/>
            <w:tcBorders>
              <w:bottom w:val="single" w:sz="2" w:space="0" w:color="666666"/>
            </w:tcBorders>
            <w:tcMar>
              <w:bottom w:w="93" w:type="dxa"/>
            </w:tcMar>
            <w:vAlign w:val="center"/>
          </w:tcPr>
          <w:p>
            <w:pPr>
              <w:pStyle w:val="TableContents"/>
              <w:bidi w:val="0"/>
              <w:spacing w:before="0" w:after="283"/>
              <w:jc w:val="left"/>
              <w:rPr>
                <w:spacing w:val="-1"/>
              </w:rPr>
            </w:pPr>
            <w:r>
              <w:rPr>
                <w:spacing w:val="-1"/>
              </w:rPr>
              <w:t xml:space="preserve">Trimble Inc. (TRMB) </w:t>
            </w:r>
          </w:p>
        </w:tc>
        <w:tc>
          <w:tcPr>
            <w:tcW w:w="156"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2745" w:type="dxa"/>
            <w:tcBorders>
              <w:bottom w:val="single" w:sz="2" w:space="0" w:color="666666"/>
            </w:tcBorders>
            <w:tcMar>
              <w:bottom w:w="93" w:type="dxa"/>
            </w:tcMar>
            <w:vAlign w:val="center"/>
          </w:tcPr>
          <w:p>
            <w:pPr>
              <w:pStyle w:val="TableContents"/>
              <w:bidi w:val="0"/>
              <w:spacing w:before="0" w:after="283"/>
              <w:jc w:val="left"/>
              <w:rPr>
                <w:spacing w:val="-1"/>
              </w:rPr>
            </w:pPr>
            <w:r>
              <w:rPr>
                <w:spacing w:val="-1"/>
              </w:rPr>
              <w:t xml:space="preserve">Entegris, Inc. (ENTG)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2836" w:type="dxa"/>
            <w:tcBorders>
              <w:bottom w:val="single" w:sz="2" w:space="0" w:color="666666"/>
            </w:tcBorders>
            <w:tcMar>
              <w:bottom w:w="93" w:type="dxa"/>
            </w:tcMar>
            <w:vAlign w:val="center"/>
          </w:tcPr>
          <w:p>
            <w:pPr>
              <w:pStyle w:val="TableContents"/>
              <w:bidi w:val="0"/>
              <w:spacing w:before="0" w:after="283"/>
              <w:jc w:val="left"/>
              <w:rPr>
                <w:spacing w:val="-1"/>
              </w:rPr>
            </w:pPr>
            <w:r>
              <w:rPr>
                <w:spacing w:val="-1"/>
              </w:rPr>
              <w:t xml:space="preserve">NetApp (NTAP)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2975" w:type="dxa"/>
            <w:tcBorders>
              <w:bottom w:val="single" w:sz="2" w:space="0" w:color="666666"/>
            </w:tcBorders>
            <w:tcMar>
              <w:bottom w:w="93" w:type="dxa"/>
            </w:tcMar>
            <w:vAlign w:val="center"/>
          </w:tcPr>
          <w:p>
            <w:pPr>
              <w:pStyle w:val="TableContents"/>
              <w:bidi w:val="0"/>
              <w:spacing w:before="0" w:after="283"/>
              <w:jc w:val="left"/>
              <w:rPr>
                <w:spacing w:val="-1"/>
              </w:rPr>
            </w:pPr>
            <w:r>
              <w:rPr>
                <w:spacing w:val="-1"/>
              </w:rPr>
              <w:t xml:space="preserve">Twilio (TWLO) </w:t>
            </w:r>
          </w:p>
        </w:tc>
        <w:tc>
          <w:tcPr>
            <w:tcW w:w="156"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2745" w:type="dxa"/>
            <w:tcBorders>
              <w:bottom w:val="single" w:sz="2" w:space="0" w:color="666666"/>
            </w:tcBorders>
            <w:tcMar>
              <w:bottom w:w="93" w:type="dxa"/>
            </w:tcMar>
            <w:vAlign w:val="center"/>
          </w:tcPr>
          <w:p>
            <w:pPr>
              <w:pStyle w:val="TableContents"/>
              <w:bidi w:val="0"/>
              <w:spacing w:before="0" w:after="283"/>
              <w:jc w:val="left"/>
              <w:rPr>
                <w:spacing w:val="-1"/>
              </w:rPr>
            </w:pPr>
            <w:r>
              <w:rPr>
                <w:spacing w:val="-1"/>
              </w:rPr>
              <w:t xml:space="preserve">F5 (FFIV)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2836" w:type="dxa"/>
            <w:tcBorders>
              <w:bottom w:val="single" w:sz="2" w:space="0" w:color="666666"/>
            </w:tcBorders>
            <w:tcMar>
              <w:bottom w:w="93" w:type="dxa"/>
            </w:tcMar>
            <w:vAlign w:val="center"/>
          </w:tcPr>
          <w:p>
            <w:pPr>
              <w:pStyle w:val="TableContents"/>
              <w:bidi w:val="0"/>
              <w:spacing w:before="0" w:after="0"/>
              <w:jc w:val="left"/>
              <w:rPr>
                <w:spacing w:val="-1"/>
              </w:rPr>
            </w:pPr>
            <w:r>
              <w:rPr>
                <w:spacing w:val="-1"/>
              </w:rPr>
              <w:t xml:space="preserve">ON Semiconductor Corporation (ON)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2975" w:type="dxa"/>
            <w:tcBorders>
              <w:bottom w:val="single" w:sz="2" w:space="0" w:color="666666"/>
            </w:tcBorders>
            <w:tcMar>
              <w:bottom w:w="93" w:type="dxa"/>
            </w:tcMar>
            <w:vAlign w:val="center"/>
          </w:tcPr>
          <w:p>
            <w:pPr>
              <w:pStyle w:val="TableContents"/>
              <w:bidi w:val="0"/>
              <w:spacing w:before="0" w:after="283"/>
              <w:jc w:val="left"/>
              <w:rPr>
                <w:spacing w:val="-1"/>
              </w:rPr>
            </w:pPr>
            <w:r>
              <w:rPr>
                <w:spacing w:val="-1"/>
              </w:rPr>
              <w:t xml:space="preserve">Zebra Technologies Corporation (ZBRA) </w:t>
            </w:r>
          </w:p>
        </w:tc>
        <w:tc>
          <w:tcPr>
            <w:tcW w:w="156"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2745" w:type="dxa"/>
            <w:tcBorders>
              <w:bottom w:val="single" w:sz="2" w:space="0" w:color="666666"/>
            </w:tcBorders>
            <w:tcMar>
              <w:bottom w:w="93" w:type="dxa"/>
            </w:tcMar>
            <w:vAlign w:val="center"/>
          </w:tcPr>
          <w:p>
            <w:pPr>
              <w:pStyle w:val="TableContents"/>
              <w:bidi w:val="0"/>
              <w:spacing w:before="0" w:after="283"/>
              <w:jc w:val="left"/>
              <w:rPr>
                <w:spacing w:val="-1"/>
              </w:rPr>
            </w:pPr>
            <w:r>
              <w:rPr>
                <w:spacing w:val="-1"/>
              </w:rPr>
              <w:t xml:space="preserve">Keysight Technologies, Inc. (KEYS)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2836" w:type="dxa"/>
            <w:tcBorders>
              <w:bottom w:val="single" w:sz="2" w:space="0" w:color="666666"/>
            </w:tcBorders>
            <w:tcMar>
              <w:bottom w:w="93" w:type="dxa"/>
            </w:tcMar>
            <w:vAlign w:val="center"/>
          </w:tcPr>
          <w:p>
            <w:pPr>
              <w:pStyle w:val="TableContents"/>
              <w:bidi w:val="0"/>
              <w:spacing w:before="0" w:after="283"/>
              <w:jc w:val="left"/>
              <w:rPr>
                <w:spacing w:val="-1"/>
              </w:rPr>
            </w:pPr>
            <w:r>
              <w:rPr>
                <w:spacing w:val="-1"/>
              </w:rPr>
              <w:t xml:space="preserve">Pure Storage (P)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2975" w:type="dxa"/>
            <w:tcBorders>
              <w:bottom w:val="single" w:sz="2" w:space="0" w:color="666666"/>
            </w:tcBorders>
            <w:tcMar>
              <w:bottom w:w="93" w:type="dxa"/>
            </w:tcMar>
            <w:vAlign w:val="center"/>
          </w:tcPr>
          <w:p>
            <w:pPr>
              <w:pStyle w:val="TableContents"/>
              <w:bidi w:val="0"/>
              <w:spacing w:before="0" w:after="283"/>
              <w:jc w:val="left"/>
              <w:rPr/>
            </w:pPr>
            <w:r>
              <w:rPr/>
              <w:t>​</w:t>
            </w:r>
          </w:p>
        </w:tc>
        <w:tc>
          <w:tcPr>
            <w:tcW w:w="156" w:type="dxa"/>
            <w:tcBorders>
              <w:bottom w:val="single" w:sz="2" w:space="0" w:color="666666"/>
            </w:tcBorders>
            <w:vAlign w:val="center"/>
          </w:tcPr>
          <w:p>
            <w:pPr>
              <w:pStyle w:val="TableContents"/>
              <w:bidi w:val="0"/>
              <w:spacing w:before="0" w:after="283"/>
              <w:jc w:val="left"/>
              <w:rPr/>
            </w:pPr>
            <w:r>
              <w:rPr/>
              <w:t>​</w:t>
            </w:r>
          </w:p>
        </w:tc>
      </w:tr>
    </w:tbl>
    <w:p>
      <w:pPr>
        <w:pStyle w:val="TextBody"/>
        <w:bidi w:val="0"/>
        <w:spacing w:lineRule="atLeast" w:line="260" w:before="150" w:after="283"/>
        <w:ind w:left="89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Based on the financial data as of June 30, 2025 used in the peer group review, Coherent ranked at the 72</w:t>
      </w:r>
      <w:r>
        <w:rPr>
          <w:rFonts w:ascii="Arial;Helvetica;sans-serif" w:hAnsi="Arial;Helvetica;sans-serif"/>
          <w:b w:val="false"/>
          <w:i w:val="false"/>
          <w:caps w:val="false"/>
          <w:smallCaps w:val="false"/>
          <w:color w:val="000000"/>
          <w:spacing w:val="-1"/>
          <w:sz w:val="14"/>
          <w:shd w:fill="FFFFFF" w:val="clear"/>
        </w:rPr>
        <w:t>nd</w:t>
      </w:r>
      <w:r>
        <w:rPr>
          <w:rFonts w:ascii="Arial;Helvetica;sans-serif" w:hAnsi="Arial;Helvetica;sans-serif"/>
          <w:b w:val="false"/>
          <w:i w:val="false"/>
          <w:caps w:val="false"/>
          <w:smallCaps w:val="false"/>
          <w:color w:val="000000"/>
          <w:spacing w:val="-1"/>
          <w:sz w:val="19"/>
          <w:shd w:fill="FFFFFF" w:val="clear"/>
        </w:rPr>
        <w:t xml:space="preserve"> percentile for revenue and the 23</w:t>
      </w:r>
      <w:r>
        <w:rPr>
          <w:rFonts w:ascii="Arial;Helvetica;sans-serif" w:hAnsi="Arial;Helvetica;sans-serif"/>
          <w:b w:val="false"/>
          <w:i w:val="false"/>
          <w:caps w:val="false"/>
          <w:smallCaps w:val="false"/>
          <w:color w:val="000000"/>
          <w:spacing w:val="-1"/>
          <w:sz w:val="14"/>
          <w:shd w:fill="FFFFFF" w:val="clear"/>
        </w:rPr>
        <w:t>rd</w:t>
      </w:r>
      <w:r>
        <w:rPr>
          <w:rFonts w:ascii="Arial;Helvetica;sans-serif" w:hAnsi="Arial;Helvetica;sans-serif"/>
          <w:b w:val="false"/>
          <w:i w:val="false"/>
          <w:caps w:val="false"/>
          <w:smallCaps w:val="false"/>
          <w:color w:val="000000"/>
          <w:spacing w:val="-1"/>
          <w:sz w:val="19"/>
          <w:shd w:fill="FFFFFF" w:val="clear"/>
        </w:rPr>
        <w:t xml:space="preserve"> percentile for 30-day market capitalization among the peer group.</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55</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50" w:before="120" w:after="283"/>
        <w:ind w:left="89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Committee believes that the peer group’s compensation practices provide appropriate compensation reference points for determining the fiscal year 2026 compensation for Coherent’s NEOs. Consistent with best practices for corporate governance, the Committee intends to review the peer group annually.</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630" w:before="474" w:after="283"/>
        <w:jc w:val="left"/>
        <w:rPr>
          <w:rFonts w:ascii="Tahoma;Geneva;sans-serif" w:hAnsi="Tahoma;Geneva;sans-serif"/>
          <w:b/>
          <w:i w:val="false"/>
          <w:caps w:val="false"/>
          <w:smallCaps w:val="false"/>
          <w:color w:val="0068C7"/>
          <w:sz w:val="60"/>
          <w:shd w:fill="FFFFFF" w:val="clear"/>
        </w:rPr>
      </w:pPr>
      <w:r>
        <w:rPr>
          <w:rFonts w:ascii="Tahoma;Geneva;sans-serif" w:hAnsi="Tahoma;Geneva;sans-serif"/>
          <w:b/>
          <w:i w:val="false"/>
          <w:caps w:val="false"/>
          <w:smallCaps w:val="false"/>
          <w:color w:val="0068C7"/>
          <w:sz w:val="60"/>
          <w:shd w:fill="FFFFFF" w:val="clear"/>
        </w:rPr>
        <w:t>V. ADDITIONAL COMPENSATION POLICIES AND PRACTICES</w:t>
      </w:r>
      <w:r>
        <w:rPr>
          <w:rFonts w:ascii="Tahoma;Geneva;sans-serif" w:hAnsi="Tahoma;Geneva;sans-serif"/>
          <w:b/>
          <w:i w:val="false"/>
          <w:caps w:val="false"/>
          <w:smallCaps w:val="false"/>
          <w:color w:val="000000"/>
          <w:spacing w:val="12"/>
          <w:sz w:val="6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We generally provide our NEOs the same benefits we provide to all employees, including certain health and welfare benefits and a 401(k) retirement savings plan. In addition, we provide our NEOs with certain additional benefits intended to be competitive with the practices of companies in our peer group.</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i w:val="false"/>
          <w:caps w:val="false"/>
          <w:smallCaps w:val="false"/>
          <w:color w:val="000000"/>
          <w:spacing w:val="0"/>
          <w:sz w:val="19"/>
          <w:shd w:fill="FFFFFF" w:val="clear"/>
        </w:rPr>
        <w:t>401(k) Plan</w:t>
      </w:r>
      <w:r>
        <w:rPr>
          <w:rFonts w:ascii="Arial;Helvetica;sans-serif" w:hAnsi="Arial;Helvetica;sans-serif"/>
          <w:b w:val="false"/>
          <w:i w:val="false"/>
          <w:caps w:val="false"/>
          <w:smallCaps w:val="false"/>
          <w:color w:val="000000"/>
          <w:spacing w:val="-1"/>
          <w:sz w:val="19"/>
          <w:shd w:fill="FFFFFF" w:val="clear"/>
        </w:rPr>
        <w:t>. The Company maintains the Coherent Corp. 401(k) Profit Sharing Plan (the “401(k) Plan”), which covers substantially all U.S. employees of the Company, including the NEOs. The 401(k) Plan is a voluntary contributory plan under which employees may elect to defer compensation. The Company makes matching contributions up to 4% of the employee’s individual earnings, subject to limitations under federal tax rules. Additionally, the Company may make discretionary profit-sharing contributions for employees under the 401(k) Plan, and the Company made such contributions to certain employees for the most recent fiscal year. Company contributions to NEO accounts under the 401(k) Plan are set forth in the “All Other Compensation” column of the Summary Compensation Table.</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i w:val="false"/>
          <w:caps w:val="false"/>
          <w:smallCaps w:val="false"/>
          <w:color w:val="000000"/>
          <w:spacing w:val="0"/>
          <w:sz w:val="19"/>
          <w:shd w:fill="FFFFFF" w:val="clear"/>
        </w:rPr>
        <w:t>Deferred Compensation</w:t>
      </w:r>
      <w:r>
        <w:rPr>
          <w:rFonts w:ascii="Arial;Helvetica;sans-serif" w:hAnsi="Arial;Helvetica;sans-serif"/>
          <w:b w:val="false"/>
          <w:i w:val="false"/>
          <w:caps w:val="false"/>
          <w:smallCaps w:val="false"/>
          <w:color w:val="000000"/>
          <w:spacing w:val="-1"/>
          <w:sz w:val="19"/>
          <w:shd w:fill="FFFFFF" w:val="clear"/>
        </w:rPr>
        <w:t>. The Coherent Corp. Nonqualified Deferred Compensation Plan (the “Deferred Compensation Plan”) is designed to allow executive officers and certain other employees of the Company to defer receipt of compensation for retirement or other qualified purposes. The Deferred Compensation Plan provides the NEOs the opportunity to defer compensation when they are not able to take full advantage of the 401(k) Plan because of tax rules limiting contributions. In addition, the Company makes matching contributions under the Deferred Compensation Plan to make up for the limitations on matching contributions under the 401(k) Plan that are imposed by tax rules. For a description of the Deferred Compensation Plan and more information regarding the amounts deferred under the Deferred Compensation Plan, see the “Nonqualified Deferred Compensation for Fiscal Year 2026” section of this proxy statement.</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i w:val="false"/>
          <w:caps w:val="false"/>
          <w:smallCaps w:val="false"/>
          <w:color w:val="000000"/>
          <w:spacing w:val="0"/>
          <w:sz w:val="19"/>
          <w:shd w:fill="FFFFFF" w:val="clear"/>
        </w:rPr>
        <w:t>Severance and Change in Control</w:t>
      </w:r>
      <w:r>
        <w:rPr>
          <w:rFonts w:ascii="Arial;Helvetica;sans-serif" w:hAnsi="Arial;Helvetica;sans-serif"/>
          <w:b w:val="false"/>
          <w:i w:val="false"/>
          <w:caps w:val="false"/>
          <w:smallCaps w:val="false"/>
          <w:color w:val="000000"/>
          <w:spacing w:val="-1"/>
          <w:sz w:val="19"/>
          <w:shd w:fill="FFFFFF" w:val="clear"/>
        </w:rPr>
        <w:t>. To enable us to offer competitive total compensation packages to our senior leaders, including our executive officers, as well as to promote their ongoing retention when considering potential transactions that may create uncertainty as to their future employment with us, we offer certain post-employment payments and benefits to such employees, including the NEOs, upon the occurrence of specified events, including upon involuntary termination and upon certain terminations in connection with a change in control of the Company.</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i w:val="false"/>
          <w:caps w:val="false"/>
          <w:smallCaps w:val="false"/>
          <w:color w:val="000000"/>
          <w:spacing w:val="0"/>
          <w:sz w:val="19"/>
          <w:shd w:fill="FFFFFF" w:val="clear"/>
        </w:rPr>
        <w:t>Executive Severance Plan</w:t>
      </w:r>
      <w:r>
        <w:rPr>
          <w:rFonts w:ascii="Arial;Helvetica;sans-serif" w:hAnsi="Arial;Helvetica;sans-serif"/>
          <w:b w:val="false"/>
          <w:i w:val="false"/>
          <w:caps w:val="false"/>
          <w:smallCaps w:val="false"/>
          <w:color w:val="000000"/>
          <w:spacing w:val="-1"/>
          <w:sz w:val="19"/>
          <w:shd w:fill="FFFFFF" w:val="clear"/>
        </w:rPr>
        <w:t>. The Executive Severance Plan provides severance benefits upon a qualifying termination of employment to selected employees of the Company. The Executive Severance Plan also contains certain non-duplication provisions such that the severance payments and benefits under the Executive Severance Plan are offset or reduced by any severance payments and benefits that otherwise would be received by an executive under the terms of any other agreement, policy, or plan maintained by the Company that provides for severance benefits. For fiscal year 2027, participation agreements for our NEO’s (other than our CEO) have been updated after consultation with the Committee’s independent compensation consultant, to provide severance benefits more aligned with market severance provisions. A summary description of the Executive Severance Plan is included in the “Potential Payments Upon Termination and/or Change in Control” section of this proxy statement.</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i w:val="false"/>
          <w:caps w:val="false"/>
          <w:smallCaps w:val="false"/>
          <w:color w:val="000000"/>
          <w:spacing w:val="0"/>
          <w:sz w:val="19"/>
          <w:shd w:fill="FFFFFF" w:val="clear"/>
        </w:rPr>
        <w:t>Change in Control</w:t>
      </w:r>
      <w:r>
        <w:rPr>
          <w:rFonts w:ascii="Arial;Helvetica;sans-serif" w:hAnsi="Arial;Helvetica;sans-serif"/>
          <w:b w:val="false"/>
          <w:i w:val="false"/>
          <w:caps w:val="false"/>
          <w:smallCaps w:val="false"/>
          <w:color w:val="000000"/>
          <w:spacing w:val="-1"/>
          <w:sz w:val="19"/>
          <w:shd w:fill="FFFFFF" w:val="clear"/>
        </w:rPr>
        <w:t>. The Committee believes that the long-term interests of Coherent shareholders are best served by providing reasonable income protection, equity acceleration and other severance benefits for senior leaders, including our NEOs, to address potential change in control situations in which they may otherwise be distracted by their potential loss of employment in the event of a successful transaction. These are “double trigger” arrangements — </w:t>
      </w:r>
      <w:r>
        <w:rPr>
          <w:rFonts w:ascii="Arial;Helvetica;sans-serif" w:hAnsi="Arial;Helvetica;sans-serif"/>
          <w:b w:val="false"/>
          <w:i/>
          <w:caps w:val="false"/>
          <w:smallCaps w:val="false"/>
          <w:color w:val="000000"/>
          <w:sz w:val="19"/>
          <w:shd w:fill="FFFFFF" w:val="clear"/>
        </w:rPr>
        <w:t>i.e</w:t>
      </w:r>
      <w:r>
        <w:rPr>
          <w:rFonts w:ascii="Arial;Helvetica;sans-serif" w:hAnsi="Arial;Helvetica;sans-serif"/>
          <w:b w:val="false"/>
          <w:i w:val="false"/>
          <w:caps w:val="false"/>
          <w:smallCaps w:val="false"/>
          <w:color w:val="000000"/>
          <w:spacing w:val="-1"/>
          <w:sz w:val="19"/>
          <w:shd w:fill="FFFFFF" w:val="clear"/>
        </w:rPr>
        <w:t>., severance benefits under these arrangements are only triggered by a qualifying event that also resulted in the executive’s termination of employment under certain specified circumstances within three months before through two years following the event. The Company does not provide tax gross-ups on any excise taxes that may be triggered by change in control payments.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56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50" w:before="120" w:after="283"/>
        <w:ind w:left="89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For additional information on payments on termination of employment or change in control, please refer to the “Potential Payments Upon Termination and/or Change in Control” section of this proxy statement.</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i w:val="false"/>
          <w:caps w:val="false"/>
          <w:smallCaps w:val="false"/>
          <w:color w:val="000000"/>
          <w:spacing w:val="0"/>
          <w:sz w:val="19"/>
          <w:shd w:fill="FFFFFF" w:val="clear"/>
        </w:rPr>
        <w:t>Employment Agreements</w:t>
      </w:r>
      <w:r>
        <w:rPr>
          <w:rFonts w:ascii="Arial;Helvetica;sans-serif" w:hAnsi="Arial;Helvetica;sans-serif"/>
          <w:b w:val="false"/>
          <w:i w:val="false"/>
          <w:caps w:val="false"/>
          <w:smallCaps w:val="false"/>
          <w:color w:val="000000"/>
          <w:spacing w:val="-1"/>
          <w:sz w:val="19"/>
          <w:shd w:fill="FFFFFF" w:val="clear"/>
        </w:rPr>
        <w:t>. Mr. Anderson has an offer letter that provides for severance benefits. A summary description of Mr. Anderson’s severance benefits is included in the “Potential Payments upon Change in Control and Employment Termination” section of this proxy statement.</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i w:val="false"/>
          <w:caps w:val="false"/>
          <w:smallCaps w:val="false"/>
          <w:color w:val="000000"/>
          <w:sz w:val="19"/>
          <w:shd w:fill="FFFFFF" w:val="clear"/>
        </w:rPr>
      </w:pPr>
      <w:r>
        <w:rPr>
          <w:rFonts w:ascii="Arial;Helvetica;sans-serif" w:hAnsi="Arial;Helvetica;sans-serif"/>
          <w:b/>
          <w:i w:val="false"/>
          <w:caps w:val="false"/>
          <w:smallCaps w:val="false"/>
          <w:color w:val="000000"/>
          <w:spacing w:val="0"/>
          <w:sz w:val="19"/>
          <w:shd w:fill="FFFFFF" w:val="clear"/>
        </w:rPr>
        <w:t>Health and Welfare Benefits</w:t>
      </w:r>
      <w:r>
        <w:rPr>
          <w:rFonts w:ascii="Arial;Helvetica;sans-serif" w:hAnsi="Arial;Helvetica;sans-serif"/>
          <w:b w:val="false"/>
          <w:i w:val="false"/>
          <w:caps w:val="false"/>
          <w:smallCaps w:val="false"/>
          <w:color w:val="000000"/>
          <w:spacing w:val="-1"/>
          <w:sz w:val="19"/>
          <w:shd w:fill="FFFFFF" w:val="clear"/>
        </w:rPr>
        <w:t xml:space="preserve">. Coherent offers broad-based medical, dental, vision, life, and disability plans to all employees.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i w:val="false"/>
          <w:caps w:val="false"/>
          <w:smallCaps w:val="false"/>
          <w:color w:val="000000"/>
          <w:spacing w:val="0"/>
          <w:sz w:val="19"/>
          <w:shd w:fill="FFFFFF" w:val="clear"/>
        </w:rPr>
        <w:t>Perquisites and Other Personal Benefits</w:t>
      </w:r>
      <w:r>
        <w:rPr>
          <w:rFonts w:ascii="Arial;Helvetica;sans-serif" w:hAnsi="Arial;Helvetica;sans-serif"/>
          <w:b w:val="false"/>
          <w:i w:val="false"/>
          <w:caps w:val="false"/>
          <w:smallCaps w:val="false"/>
          <w:color w:val="000000"/>
          <w:spacing w:val="-1"/>
          <w:sz w:val="19"/>
          <w:shd w:fill="FFFFFF" w:val="clear"/>
        </w:rPr>
        <w:t>. The Company provides limited perquisites or personal benefits to its NEOs. The perquisites and personal benefits summarized above were provided because Coherent believed that they supported executive officers, served a necessary business purpose, and the related amounts of compensation were not material to the overall executive compensation program. The costs of these items are reported in the Summary Compensation Table.</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i w:val="false"/>
          <w:caps w:val="false"/>
          <w:smallCaps w:val="false"/>
          <w:color w:val="000000"/>
          <w:spacing w:val="0"/>
          <w:sz w:val="19"/>
          <w:shd w:fill="FFFFFF" w:val="clear"/>
        </w:rPr>
        <w:t>Employee Stock Purchase Plan</w:t>
      </w:r>
      <w:r>
        <w:rPr>
          <w:rFonts w:ascii="Arial;Helvetica;sans-serif" w:hAnsi="Arial;Helvetica;sans-serif"/>
          <w:b w:val="false"/>
          <w:i w:val="false"/>
          <w:caps w:val="false"/>
          <w:smallCaps w:val="false"/>
          <w:color w:val="000000"/>
          <w:spacing w:val="-1"/>
          <w:sz w:val="19"/>
          <w:shd w:fill="FFFFFF" w:val="clear"/>
        </w:rPr>
        <w:t>. Pursuant to our employee stock purchase plan, our employees, including each of our NEOs, have an opportunity to purchase our common stock at a discount on a tax-qualified basis through payroll deductions. The employee stock purchase plan is designed to qualify as an “employee stock purchase plan” under Section 423 of the Internal Revenue Code. The purpose of the employee stock purchase plan is to encourage our employees, including our named executive officers, to become our shareholders and better align their interests with those of our other shareholders.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CLAWBACK POLICY</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In accordance with Section 10D of the Securities Exchange Act of 1934, Rule 10D-1 promulgated thereunder, and the listing standards of the New York Stock Exchange, the Company adopted a Compensation Recovery (“Clawback”) Policy to comply with the same as of October 2, 2023 (the “Clawback Policy”). The Clawback Policy requires the Company to recover from covered executive officers the amount of erroneously awarded compensation resulting from an accounting restatement due to the material noncompliance of the Company with any financial reporting requirement under the securities laws. The Clawback Policy supersedes and replaces the Company’s prior compensation recovery policy for incentive-based compensation received from and after October 2, 2023. Under that prior policy, which still applies to incentive-based compensation received before October 2, 2023, if the Company must restate its financial statements due to material non-compliance with any financial reporting requirements, any current or former executive officer or other employee of the Company (i) who received incentive compensation based on financial information that is subject to restatement, and (ii) whose gross negligence, fraud or misconduct caused or contributed to the non-compliance resulting in the restatement, would be required to reimburse the Company for any incentive compensation received in excess of what they would have received under the restatement. In addition, if the Board in its sole judgment determines that the gross negligence, fraud or misconduct by a current or former executive officer or other employee caused or contributed to the need for the restatement, then under the prior policy such person would be required to repay the net profits realized from any sales of shares of Common Stock that were received as incentive compensation based on the restated financial statements.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EXECUTIVE STOCK OWNERSHIP GUIDELINES</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Committee believes that Coherent and its shareholders are best served when executive officers manage the business with a long-term perspective. As such, Coherent has implemented executive stock ownership guidelines, as Coherent believes stock ownership is an important tool to strengthen the alignment of interests among executive officers and shareholders, to reinforce executive officers’ commitment to Coherent and to demonstrate Coherent’s commitment to sound corporate governance. For purposes of the guidelines, stock held and time-based RSUs count; unexercised options, vested and unvested options and unearned performance-based shares or units do not count. This policy requires our CEO to own Common Stock and RSUs having an aggregate value of at least three times his annual base salary, and our other executive officers to own Common Stock and RSUs having an aggregate value at least equal to their annual base salary. The guidelines have a phase-in period to allow newly hired or promoted executives to acquire the requisite share levels over a period of three years. All of our current NEOs are in compliance with our stock ownership guidelines or fall within the period to attain the guideline level of stock ownership.</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57</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tbl>
      <w:tblPr>
        <w:tblW w:w="6689" w:type="dxa"/>
        <w:jc w:val="left"/>
        <w:tblInd w:w="893" w:type="dxa"/>
        <w:tblLayout w:type="fixed"/>
        <w:tblCellMar>
          <w:top w:w="0" w:type="dxa"/>
          <w:left w:w="0" w:type="dxa"/>
          <w:bottom w:w="0" w:type="dxa"/>
          <w:right w:w="0" w:type="dxa"/>
        </w:tblCellMar>
      </w:tblPr>
      <w:tblGrid>
        <w:gridCol w:w="124"/>
        <w:gridCol w:w="2517"/>
        <w:gridCol w:w="109"/>
        <w:gridCol w:w="109"/>
        <w:gridCol w:w="3676"/>
        <w:gridCol w:w="154"/>
      </w:tblGrid>
      <w:tr>
        <w:trPr/>
        <w:tc>
          <w:tcPr>
            <w:tcW w:w="124" w:type="dxa"/>
            <w:tcBorders/>
            <w:shd w:fill="000000" w:val="clear"/>
            <w:vAlign w:val="center"/>
          </w:tcPr>
          <w:p>
            <w:pPr>
              <w:pStyle w:val="TableContents"/>
              <w:bidi w:val="0"/>
              <w:spacing w:before="0" w:after="283"/>
              <w:jc w:val="left"/>
              <w:rPr/>
            </w:pPr>
            <w:r>
              <w:rPr/>
              <w:t>​</w:t>
            </w:r>
          </w:p>
        </w:tc>
        <w:tc>
          <w:tcPr>
            <w:tcW w:w="2517" w:type="dxa"/>
            <w:tcBorders/>
            <w:shd w:fill="000000" w:val="clear"/>
            <w:vAlign w:val="center"/>
          </w:tcPr>
          <w:p>
            <w:pPr>
              <w:pStyle w:val="TableContents"/>
              <w:bidi w:val="0"/>
              <w:spacing w:before="0" w:after="0"/>
              <w:jc w:val="left"/>
              <w:rPr/>
            </w:pPr>
            <w:r>
              <w:rPr/>
              <w:t xml:space="preserve">Executive Officer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3676" w:type="dxa"/>
            <w:tcBorders/>
            <w:shd w:fill="000000" w:val="clear"/>
            <w:vAlign w:val="center"/>
          </w:tcPr>
          <w:p>
            <w:pPr>
              <w:pStyle w:val="TableContents"/>
              <w:bidi w:val="0"/>
              <w:spacing w:before="0" w:after="0"/>
              <w:jc w:val="center"/>
              <w:rPr/>
            </w:pPr>
            <w:r>
              <w:rPr/>
              <w:t xml:space="preserve">Multiple of Base Salary Requirement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517"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Chief Executive Officer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367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Three times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517"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Other Executive Officers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3676" w:type="dxa"/>
            <w:tcBorders>
              <w:bottom w:val="single" w:sz="2" w:space="0" w:color="666666"/>
            </w:tcBorders>
            <w:tcMar>
              <w:bottom w:w="88" w:type="dxa"/>
            </w:tcMar>
            <w:vAlign w:val="center"/>
          </w:tcPr>
          <w:p>
            <w:pPr>
              <w:pStyle w:val="TableContents"/>
              <w:bidi w:val="0"/>
              <w:spacing w:before="0" w:after="0"/>
              <w:jc w:val="center"/>
              <w:rPr/>
            </w:pPr>
            <w:r>
              <w:rPr>
                <w:spacing w:val="-1"/>
              </w:rPr>
              <w:t>One time</w:t>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lineRule="atLeast" w:line="440" w:before="620" w:after="283"/>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ANTI-HEDGING AND ANTI-PLEDGING POLICY</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To further demonstrate the Company’s commitment to align the interests of our officers and directors with those of our shareholders, the Board has adopted a policy which prohibits hedging or pledging of Company stock by members of our Board and executive officers, including a prohibition on holding shares in a margin account.</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RISKS IN COMPENSATION PROGRAMS AND PRACTICES</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Committee periodically reviews our compensation policies and practices to ensure that they do not encourage our executives or other employees to take excessive risks or emphasize short-term results at the expense of long-term shareholder value. Based on its review, the Committee believes that risks arising from our compensation policies and practices are not reasonably likely to have a material adverse effect on the Company.</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TIMING OF EQUITY AWARDS</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Grants of equity awards to our executive officers are generally determined and approved at our pre-scheduled quarterly Committee meetings whenever practicable, and the awards are granted in accordance with our equity grant policies and processes. In addition, the Committee approves the annual equity refresh grants, including performance-based awards, in the first quarter of each year. However, the Committee may otherwise approve the grant of equity awards outside of a pre-scheduled meeting in connection with a new hire, promotion, and other circumstances where the Committee deems it appropriate to make such grants.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TAX CONSIDERATIONS: SECTION 162(M)</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Section 162(m) of the Code generally provides that publicly held companies may not deduct compensation paid to certain of their top executive officers to the extent that such compensation exceeds $1 million per officer in any given year. While the Committee considers the deductibility of awards as one factor in determining executive compensation, the Committee also looks at other factors in making its decisions and retains the flexibility to award compensation that it determines to be consistent with the goals of our executive compensation program even if the compensation is not deductible by us for tax purposes.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ACCOUNTING FOR STOCK-BASED COMPENSATION</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pacing w:val="-1"/>
          <w:sz w:val="19"/>
          <w:shd w:fill="FFFFFF" w:val="clear"/>
        </w:rPr>
      </w:pPr>
      <w:r>
        <w:rPr>
          <w:rFonts w:ascii="Arial;Helvetica;sans-serif" w:hAnsi="Arial;Helvetica;sans-serif"/>
          <w:b w:val="false"/>
          <w:i w:val="false"/>
          <w:caps w:val="false"/>
          <w:smallCaps w:val="false"/>
          <w:color w:val="000000"/>
          <w:spacing w:val="-1"/>
          <w:sz w:val="19"/>
          <w:shd w:fill="FFFFFF" w:val="clear"/>
        </w:rPr>
        <w:t xml:space="preserve">We follow Financial Accounting Standards Board ASC Topic 718 for our stock-based compensation awards. In accordance with ASC Topic 718, stock-based compensation cost is measured at the grant date, or with respect to performance-based awards, the service inception date, based on the estimated fair value of the awards using a variety of assumptions. This calculation is performed for accounting purposes and, as applicable, reported in the compensation tables, even though recipients may never realize any value from their awards. We record this expense on an ongoing basis over the requisite employee service period. Accounting rules also require us to record cash compensation as an expense at the time the obligation is incurred.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58</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440" w:before="120" w:after="9365"/>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FISCAL YEAR 2027 PROGRAM UPDATES</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Fiscal Year 2027 Special Performance Stock Unit Awards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As disclosed in the Company’s Form 8-K, filed on August 31, 2026, the Committee approved special incentive awards for key members of Coherent’s leadership team, including James R. Anderson, Chief Executive Officer; Sherri Luther, Chief Financial Officer; Julie Eng, Chief Technology Officer and Executive Vice President, Optical Components; Rob Beard, Chief Strategy and Legal Affairs Officer; and Jeffrey Place, Chief Supply Chain Officer. These awards consist entirely of PSUs, with vesting tied to the achievement of significant share price growth milestones, satisfaction of a relative total shareholder return hurdle and a continued service requirement through 2030. The Awards were granted pursuant to and under the Coherent Corp. Omnibus Incentive Plan, as amended and restated.</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pacing w:val="-1"/>
          <w:sz w:val="19"/>
          <w:shd w:fill="FFFFFF" w:val="clear"/>
        </w:rPr>
      </w:pPr>
      <w:r>
        <w:rPr>
          <w:rFonts w:ascii="Arial;Helvetica;sans-serif" w:hAnsi="Arial;Helvetica;sans-serif"/>
          <w:b w:val="false"/>
          <w:i w:val="false"/>
          <w:caps w:val="false"/>
          <w:smallCaps w:val="false"/>
          <w:color w:val="000000"/>
          <w:spacing w:val="-1"/>
          <w:sz w:val="19"/>
          <w:shd w:fill="FFFFFF" w:val="clear"/>
        </w:rPr>
        <w:t xml:space="preserve">The grant date fair value of the fiscal year 2027 PSUs and full details of the incentive program will be reflected in our 2027 proxy statement, including fiscal year 2027 Summary Compensation Table and in the Grants of Plan-Based Awards Table for our 2027 annual meeting of shareholders.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59</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7" w:name="tCAHC"/>
      <w:bookmarkEnd w:id="1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640" w:before="120" w:after="7235"/>
        <w:ind w:left="893" w:right="40" w:hanging="0"/>
        <w:jc w:val="left"/>
        <w:rPr>
          <w:rFonts w:ascii="Tahoma;Geneva;sans-serif" w:hAnsi="Tahoma;Geneva;sans-serif"/>
          <w:b/>
          <w:i w:val="false"/>
          <w:caps w:val="false"/>
          <w:smallCaps w:val="false"/>
          <w:color w:val="0068C7"/>
          <w:sz w:val="60"/>
          <w:shd w:fill="FFFFFF" w:val="clear"/>
        </w:rPr>
      </w:pPr>
      <w:r>
        <w:rPr>
          <w:rFonts w:ascii="Tahoma;Geneva;sans-serif" w:hAnsi="Tahoma;Geneva;sans-serif"/>
          <w:b/>
          <w:i w:val="false"/>
          <w:caps w:val="false"/>
          <w:smallCaps w:val="false"/>
          <w:color w:val="0068C7"/>
          <w:sz w:val="60"/>
          <w:shd w:fill="FFFFFF" w:val="clear"/>
        </w:rPr>
        <w:t>COMPENSATION AND HUMAN CAPITAL COMMITTEE REPORT</w:t>
      </w:r>
      <w:r>
        <w:rPr>
          <w:rFonts w:ascii="Tahoma;Geneva;sans-serif" w:hAnsi="Tahoma;Geneva;sans-serif"/>
          <w:b/>
          <w:i w:val="false"/>
          <w:caps w:val="false"/>
          <w:smallCaps w:val="false"/>
          <w:color w:val="000000"/>
          <w:spacing w:val="12"/>
          <w:sz w:val="6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Compensation and Human Capital Committee has: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5" w:before="180" w:after="0"/>
        <w:ind w:left="133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reviewed and discussed the Compensation Discussion and Analysis included in this proxy statement with management; and</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76200" distR="0" simplePos="0" locked="0" layoutInCell="1" allowOverlap="1" relativeHeight="377">
                <wp:simplePos x="0" y="0"/>
                <wp:positionH relativeFrom="column">
                  <wp:align>left</wp:align>
                </wp:positionH>
                <wp:positionV relativeFrom="line">
                  <wp:align>top</wp:align>
                </wp:positionV>
                <wp:extent cx="203200" cy="525780"/>
                <wp:effectExtent l="0" t="0" r="0" b="0"/>
                <wp:wrapSquare wrapText="right"/>
                <wp:docPr id="385" name="Frame167"/>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255" w:before="0" w:after="283"/>
                              <w:jc w:val="left"/>
                              <w:rPr/>
                            </w:pPr>
                            <w:r>
                              <w:rPr>
                                <w:spacing w:val="-1"/>
                              </w:rPr>
                              <w:t>(1)</w:t>
                            </w:r>
                            <w:r>
                              <w:rPr/>
                              <w:t xml:space="preserve"> </w:t>
                              <w:br/>
                            </w:r>
                          </w:p>
                        </w:txbxContent>
                      </wps:txbx>
                      <wps:bodyPr anchor="t" lIns="0" tIns="0" rIns="0" bIns="0">
                        <a:noAutofit/>
                      </wps:bodyPr>
                    </wps:wsp>
                  </a:graphicData>
                </a:graphic>
              </wp:anchor>
            </w:drawing>
          </mc:Choice>
          <mc:Fallback>
            <w:pict>
              <v:rect style="position:absolute;rotation:-0;width:16pt;height:41.4pt;mso-wrap-distance-left:6pt;mso-wrap-distance-right:0pt;mso-wrap-distance-top:9pt;mso-wrap-distance-bottom:0pt;margin-top:9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(1)</w:t>
                      </w:r>
                      <w:r>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80" w:after="0"/>
        <w:ind w:left="133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based on the review and discussions referred to in paragraph (1) above, recommended to the Board that the Compensation Discussion and Analysis be included in this proxy statement.</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76200" distR="0" simplePos="0" locked="0" layoutInCell="1" allowOverlap="1" relativeHeight="378">
                <wp:simplePos x="0" y="0"/>
                <wp:positionH relativeFrom="column">
                  <wp:align>left</wp:align>
                </wp:positionH>
                <wp:positionV relativeFrom="line">
                  <wp:align>top</wp:align>
                </wp:positionV>
                <wp:extent cx="203200" cy="525780"/>
                <wp:effectExtent l="0" t="0" r="0" b="0"/>
                <wp:wrapSquare wrapText="right"/>
                <wp:docPr id="386" name="Frame168"/>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255" w:before="0" w:after="283"/>
                              <w:jc w:val="left"/>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16pt;height:41.4pt;mso-wrap-distance-left:6pt;mso-wrap-distance-right:0pt;mso-wrap-distance-top:9pt;mso-wrap-distance-bottom:0pt;margin-top:9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(2)</w:t>
                      </w:r>
                      <w:r>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foregoing report of the Compensation and Human Capital Committee shall not be deemed to be “soliciting material” or to be “filed” with the SEC, nor shall such information be incorporated by reference into any future filing under the Securities Act of 1933, as amended, or the Securities Exchange Act of 1934, as amended, except to the extent that the Company specifically incorporates it by reference in such filing.</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20" w:before="120" w:after="283"/>
        <w:jc w:val="left"/>
        <w:rPr>
          <w:rFonts w:ascii="Arial;Helvetica;sans-serif" w:hAnsi="Arial;Helvetica;sans-serif"/>
          <w:b/>
          <w:i w:val="false"/>
          <w:caps w:val="false"/>
          <w:smallCaps w:val="false"/>
          <w:color w:val="000000"/>
          <w:sz w:val="19"/>
          <w:shd w:fill="FFFFFF" w:val="clear"/>
        </w:rPr>
      </w:pPr>
      <w:r>
        <w:rPr>
          <w:rFonts w:ascii="Arial;Helvetica;sans-serif" w:hAnsi="Arial;Helvetica;sans-serif"/>
          <w:b/>
          <w:i w:val="false"/>
          <w:caps w:val="false"/>
          <w:smallCaps w:val="false"/>
          <w:color w:val="000000"/>
          <w:spacing w:val="0"/>
          <w:sz w:val="19"/>
          <w:shd w:fill="FFFFFF" w:val="clear"/>
        </w:rPr>
        <w:t>Compensation and Human Capital Committee</w:t>
      </w:r>
      <w:r>
        <w:rPr>
          <w:rFonts w:ascii="Arial;Helvetica;sans-serif" w:hAnsi="Arial;Helvetica;sans-serif"/>
          <w:b/>
          <w:i w:val="false"/>
          <w:caps w:val="false"/>
          <w:smallCaps w:val="false"/>
          <w:color w:val="000000"/>
          <w:sz w:val="19"/>
          <w:shd w:fill="FFFFFF" w:val="clear"/>
        </w:rPr>
        <w:t xml:space="preserve"> </w:t>
      </w:r>
    </w:p>
    <w:p>
      <w:pPr>
        <w:pStyle w:val="TextBody"/>
        <w:bidi w:val="0"/>
        <w:spacing w:lineRule="atLeast" w:line="250" w:before="4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 xml:space="preserve">Michelle Sterling, </w:t>
      </w:r>
      <w:r>
        <w:rPr>
          <w:rFonts w:ascii="Arial;Helvetica;sans-serif" w:hAnsi="Arial;Helvetica;sans-serif"/>
          <w:b w:val="false"/>
          <w:i/>
          <w:caps w:val="false"/>
          <w:smallCaps w:val="false"/>
          <w:color w:val="000000"/>
          <w:sz w:val="19"/>
          <w:shd w:fill="FFFFFF" w:val="clear"/>
        </w:rPr>
        <w:t>Chair</w:t>
      </w:r>
      <w:r>
        <w:rPr>
          <w:rFonts w:ascii="Arial;Helvetica;sans-serif" w:hAnsi="Arial;Helvetica;sans-serif"/>
          <w:b w:val="false"/>
          <w:i w:val="false"/>
          <w:caps w:val="false"/>
          <w:smallCaps w:val="false"/>
          <w:color w:val="000000"/>
          <w:sz w:val="19"/>
          <w:shd w:fill="FFFFFF" w:val="clear"/>
        </w:rPr>
        <w:t xml:space="preserve"> </w:t>
        <w:br/>
      </w:r>
      <w:r>
        <w:rPr>
          <w:rFonts w:ascii="Arial;Helvetica;sans-serif" w:hAnsi="Arial;Helvetica;sans-serif"/>
          <w:b w:val="false"/>
          <w:i w:val="false"/>
          <w:caps w:val="false"/>
          <w:smallCaps w:val="false"/>
          <w:color w:val="000000"/>
          <w:spacing w:val="-1"/>
          <w:sz w:val="19"/>
          <w:shd w:fill="FFFFFF" w:val="clear"/>
        </w:rPr>
        <w:t xml:space="preserve">Stephen Pagliuca </w:t>
        <w:br/>
        <w:t xml:space="preserve">Elizabeth A. Patrick </w:t>
        <w:br/>
        <w:t xml:space="preserve">Sandeep Vij </w:t>
        <w:br/>
        <w:t>Howard H. Xia</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60</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8" w:name="tSCT"/>
      <w:bookmarkEnd w:id="1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640" w:before="120" w:after="2575"/>
        <w:ind w:left="893" w:right="40" w:hanging="0"/>
        <w:jc w:val="left"/>
        <w:rPr>
          <w:rFonts w:ascii="Tahoma;Geneva;sans-serif" w:hAnsi="Tahoma;Geneva;sans-serif"/>
          <w:b/>
          <w:i w:val="false"/>
          <w:caps w:val="false"/>
          <w:smallCaps w:val="false"/>
          <w:color w:val="0068C7"/>
          <w:sz w:val="60"/>
          <w:shd w:fill="FFFFFF" w:val="clear"/>
        </w:rPr>
      </w:pPr>
      <w:r>
        <w:rPr>
          <w:rFonts w:ascii="Tahoma;Geneva;sans-serif" w:hAnsi="Tahoma;Geneva;sans-serif"/>
          <w:b/>
          <w:i w:val="false"/>
          <w:caps w:val="false"/>
          <w:smallCaps w:val="false"/>
          <w:color w:val="0068C7"/>
          <w:sz w:val="60"/>
          <w:shd w:fill="FFFFFF" w:val="clear"/>
        </w:rPr>
        <w:t>SUMMARY COMPENSATION TABLE</w:t>
      </w:r>
      <w:r>
        <w:rPr>
          <w:rFonts w:ascii="Tahoma;Geneva;sans-serif" w:hAnsi="Tahoma;Geneva;sans-serif"/>
          <w:b/>
          <w:i w:val="false"/>
          <w:caps w:val="false"/>
          <w:smallCaps w:val="false"/>
          <w:color w:val="000000"/>
          <w:spacing w:val="12"/>
          <w:sz w:val="6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following table summarizes the total compensation of the NEOs for the fiscal years 2026, 2025 and 2024. All footnote references and explanatory statements relate to fiscal year 2026, unless otherwise noted.</w:t>
      </w:r>
      <w:r>
        <w:rPr>
          <w:rFonts w:ascii="Arial;Helvetica;sans-serif" w:hAnsi="Arial;Helvetica;sans-serif"/>
          <w:b w:val="false"/>
          <w:i w:val="false"/>
          <w:caps w:val="false"/>
          <w:smallCaps w:val="false"/>
          <w:color w:val="000000"/>
          <w:spacing w:val="4"/>
          <w:sz w:val="19"/>
          <w:shd w:fill="FFFFFF" w:val="clear"/>
        </w:rPr>
        <w:t xml:space="preserve"> </w:t>
      </w:r>
    </w:p>
    <w:tbl>
      <w:tblPr>
        <w:tblW w:w="11171" w:type="dxa"/>
        <w:jc w:val="left"/>
        <w:tblInd w:w="893" w:type="dxa"/>
        <w:tblLayout w:type="fixed"/>
        <w:tblCellMar>
          <w:top w:w="0" w:type="dxa"/>
          <w:left w:w="0" w:type="dxa"/>
          <w:bottom w:w="0" w:type="dxa"/>
          <w:right w:w="0" w:type="dxa"/>
        </w:tblCellMar>
      </w:tblPr>
      <w:tblGrid>
        <w:gridCol w:w="124"/>
        <w:gridCol w:w="1336"/>
        <w:gridCol w:w="109"/>
        <w:gridCol w:w="109"/>
        <w:gridCol w:w="583"/>
        <w:gridCol w:w="109"/>
        <w:gridCol w:w="109"/>
        <w:gridCol w:w="1058"/>
        <w:gridCol w:w="109"/>
        <w:gridCol w:w="109"/>
        <w:gridCol w:w="1296"/>
        <w:gridCol w:w="109"/>
        <w:gridCol w:w="109"/>
        <w:gridCol w:w="856"/>
        <w:gridCol w:w="109"/>
        <w:gridCol w:w="109"/>
        <w:gridCol w:w="1471"/>
        <w:gridCol w:w="109"/>
        <w:gridCol w:w="109"/>
        <w:gridCol w:w="1471"/>
        <w:gridCol w:w="109"/>
        <w:gridCol w:w="109"/>
        <w:gridCol w:w="1296"/>
        <w:gridCol w:w="154"/>
      </w:tblGrid>
      <w:tr>
        <w:trPr/>
        <w:tc>
          <w:tcPr>
            <w:tcW w:w="124" w:type="dxa"/>
            <w:tcBorders/>
            <w:shd w:fill="000000" w:val="clear"/>
            <w:vAlign w:val="center"/>
          </w:tcPr>
          <w:p>
            <w:pPr>
              <w:pStyle w:val="TableContents"/>
              <w:bidi w:val="0"/>
              <w:spacing w:before="0" w:after="283"/>
              <w:jc w:val="left"/>
              <w:rPr/>
            </w:pPr>
            <w:r>
              <w:rPr/>
              <w:t>​</w:t>
            </w:r>
          </w:p>
        </w:tc>
        <w:tc>
          <w:tcPr>
            <w:tcW w:w="1336" w:type="dxa"/>
            <w:tcBorders/>
            <w:shd w:fill="000000" w:val="clear"/>
            <w:vAlign w:val="center"/>
          </w:tcPr>
          <w:p>
            <w:pPr>
              <w:pStyle w:val="TableContents"/>
              <w:bidi w:val="0"/>
              <w:spacing w:before="0" w:after="0"/>
              <w:jc w:val="left"/>
              <w:rPr/>
            </w:pPr>
            <w:r>
              <w:rPr/>
              <w:t xml:space="preserve">Name and Principal Position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83" w:type="dxa"/>
            <w:tcBorders/>
            <w:shd w:fill="000000" w:val="clear"/>
            <w:vAlign w:val="center"/>
          </w:tcPr>
          <w:p>
            <w:pPr>
              <w:pStyle w:val="TableContents"/>
              <w:bidi w:val="0"/>
              <w:spacing w:before="0" w:after="0"/>
              <w:jc w:val="center"/>
              <w:rPr/>
            </w:pPr>
            <w:r>
              <w:rPr/>
              <w:t xml:space="preserve">Year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58" w:type="dxa"/>
            <w:tcBorders/>
            <w:shd w:fill="000000" w:val="clear"/>
            <w:vAlign w:val="center"/>
          </w:tcPr>
          <w:p>
            <w:pPr>
              <w:pStyle w:val="TableContents"/>
              <w:bidi w:val="0"/>
              <w:spacing w:before="0" w:after="0"/>
              <w:jc w:val="center"/>
              <w:rPr/>
            </w:pPr>
            <w:r>
              <w:rPr/>
              <w:t>Salary</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96" w:type="dxa"/>
            <w:tcBorders/>
            <w:shd w:fill="000000" w:val="clear"/>
            <w:vAlign w:val="center"/>
          </w:tcPr>
          <w:p>
            <w:pPr>
              <w:pStyle w:val="TableContents"/>
              <w:bidi w:val="0"/>
              <w:spacing w:lineRule="atLeast" w:line="142" w:before="0" w:after="0"/>
              <w:jc w:val="center"/>
              <w:rPr/>
            </w:pPr>
            <w:r>
              <w:rPr/>
              <w:t>Stock</w:t>
              <w:br/>
              <w:t>Awards</w:t>
              <w:br/>
              <w:t>($)</w:t>
            </w:r>
            <w:r>
              <w:rPr>
                <w:sz w:val="10"/>
              </w:rPr>
              <w:t>1,2</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56" w:type="dxa"/>
            <w:tcBorders/>
            <w:shd w:fill="000000" w:val="clear"/>
            <w:vAlign w:val="center"/>
          </w:tcPr>
          <w:p>
            <w:pPr>
              <w:pStyle w:val="TableContents"/>
              <w:bidi w:val="0"/>
              <w:spacing w:before="0" w:after="0"/>
              <w:jc w:val="center"/>
              <w:rPr/>
            </w:pPr>
            <w:r>
              <w:rPr/>
              <w:t>Option</w:t>
              <w:br/>
              <w:t>Awards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71" w:type="dxa"/>
            <w:tcBorders/>
            <w:shd w:fill="000000" w:val="clear"/>
            <w:vAlign w:val="center"/>
          </w:tcPr>
          <w:p>
            <w:pPr>
              <w:pStyle w:val="TableContents"/>
              <w:bidi w:val="0"/>
              <w:spacing w:lineRule="atLeast" w:line="142" w:before="0" w:after="0"/>
              <w:jc w:val="center"/>
              <w:rPr/>
            </w:pPr>
            <w:r>
              <w:rPr/>
              <w:t>Non-Equity</w:t>
              <w:br/>
              <w:t>Incentive Plan</w:t>
              <w:br/>
              <w:t>Compensation</w:t>
              <w:br/>
              <w:t>($)</w:t>
            </w:r>
            <w:r>
              <w:rPr>
                <w:sz w:val="10"/>
              </w:rPr>
              <w:t>3</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71" w:type="dxa"/>
            <w:tcBorders/>
            <w:shd w:fill="000000" w:val="clear"/>
            <w:vAlign w:val="center"/>
          </w:tcPr>
          <w:p>
            <w:pPr>
              <w:pStyle w:val="TableContents"/>
              <w:bidi w:val="0"/>
              <w:spacing w:lineRule="atLeast" w:line="142" w:before="0" w:after="0"/>
              <w:jc w:val="center"/>
              <w:rPr/>
            </w:pPr>
            <w:r>
              <w:rPr/>
              <w:t>All Other</w:t>
              <w:br/>
              <w:t>Compensation</w:t>
              <w:br/>
              <w:t>($)</w:t>
            </w:r>
            <w:r>
              <w:rPr>
                <w:sz w:val="10"/>
              </w:rPr>
              <w:t>4</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96" w:type="dxa"/>
            <w:tcBorders/>
            <w:shd w:fill="000000" w:val="clear"/>
            <w:vAlign w:val="center"/>
          </w:tcPr>
          <w:p>
            <w:pPr>
              <w:pStyle w:val="TableContents"/>
              <w:bidi w:val="0"/>
              <w:spacing w:before="0" w:after="0"/>
              <w:jc w:val="center"/>
              <w:rPr/>
            </w:pPr>
            <w:r>
              <w:rPr/>
              <w:t>Total</w:t>
              <w:br/>
              <w:t xml:space="preserve">($) </w:t>
            </w:r>
          </w:p>
        </w:tc>
        <w:tc>
          <w:tcPr>
            <w:tcW w:w="154" w:type="dxa"/>
            <w:tcBorders/>
            <w:shd w:fill="000000" w:val="clear"/>
            <w:vAlign w:val="center"/>
          </w:tcPr>
          <w:p>
            <w:pPr>
              <w:pStyle w:val="TableContents"/>
              <w:bidi w:val="0"/>
              <w:spacing w:before="0" w:after="283"/>
              <w:jc w:val="left"/>
              <w:rPr/>
            </w:pPr>
            <w:r>
              <w:rPr/>
              <w:t>​</w:t>
            </w:r>
          </w:p>
        </w:tc>
      </w:tr>
      <w:tr>
        <w:trPr/>
        <w:tc>
          <w:tcPr>
            <w:tcW w:w="124"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336" w:type="dxa"/>
            <w:vMerge w:val="restart"/>
            <w:tcBorders>
              <w:bottom w:val="single" w:sz="2" w:space="0" w:color="666666"/>
            </w:tcBorders>
            <w:tcMar>
              <w:bottom w:w="88" w:type="dxa"/>
            </w:tcMar>
            <w:vAlign w:val="center"/>
          </w:tcPr>
          <w:p>
            <w:pPr>
              <w:pStyle w:val="TableContents"/>
              <w:bidi w:val="0"/>
              <w:spacing w:lineRule="atLeast" w:line="255" w:before="0" w:after="0"/>
              <w:jc w:val="left"/>
              <w:rPr>
                <w:b/>
              </w:rPr>
            </w:pPr>
            <w:r>
              <w:rPr>
                <w:b/>
                <w:spacing w:val="0"/>
              </w:rPr>
              <w:t>James R. Anderson</w:t>
            </w:r>
            <w:r>
              <w:rPr>
                <w:b/>
              </w:rPr>
              <w:t xml:space="preserve"> </w:t>
              <w:br/>
            </w:r>
            <w:r>
              <w:rPr>
                <w:b w:val="false"/>
                <w:spacing w:val="-1"/>
              </w:rPr>
              <w:t>Chief Executive Officer and President</w:t>
            </w:r>
            <w:r>
              <w:rPr>
                <w:b/>
              </w:rPr>
              <w:t xml:space="preserve"> </w:t>
            </w:r>
          </w:p>
        </w:tc>
        <w:tc>
          <w:tcPr>
            <w:tcW w:w="109"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83" w:type="dxa"/>
            <w:tcBorders>
              <w:bottom w:val="single" w:sz="2" w:space="0" w:color="666666"/>
            </w:tcBorders>
            <w:tcMar>
              <w:bottom w:w="88" w:type="dxa"/>
            </w:tcMar>
            <w:vAlign w:val="center"/>
          </w:tcPr>
          <w:p>
            <w:pPr>
              <w:pStyle w:val="TableContents"/>
              <w:bidi w:val="0"/>
              <w:spacing w:lineRule="atLeast" w:line="255" w:before="0" w:after="0"/>
              <w:jc w:val="center"/>
              <w:rPr>
                <w:spacing w:val="-1"/>
              </w:rPr>
            </w:pPr>
            <w:r>
              <w:rPr>
                <w:spacing w:val="-1"/>
              </w:rPr>
              <w:t xml:space="preserve">2026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8" w:type="dxa"/>
            </w:tcMar>
            <w:vAlign w:val="center"/>
          </w:tcPr>
          <w:p>
            <w:pPr>
              <w:pStyle w:val="TableContents"/>
              <w:bidi w:val="0"/>
              <w:spacing w:lineRule="atLeast" w:line="255" w:before="0" w:after="0"/>
              <w:jc w:val="center"/>
              <w:rPr>
                <w:spacing w:val="-1"/>
              </w:rPr>
            </w:pPr>
            <w:r>
              <w:rPr>
                <w:spacing w:val="-1"/>
              </w:rPr>
              <w:t xml:space="preserve">1,094,246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96" w:type="dxa"/>
            <w:tcBorders>
              <w:bottom w:val="single" w:sz="2" w:space="0" w:color="666666"/>
            </w:tcBorders>
            <w:tcMar>
              <w:bottom w:w="88" w:type="dxa"/>
            </w:tcMar>
            <w:vAlign w:val="center"/>
          </w:tcPr>
          <w:p>
            <w:pPr>
              <w:pStyle w:val="TableContents"/>
              <w:bidi w:val="0"/>
              <w:spacing w:lineRule="atLeast" w:line="255" w:before="0" w:after="0"/>
              <w:jc w:val="center"/>
              <w:rPr>
                <w:spacing w:val="-1"/>
              </w:rPr>
            </w:pPr>
            <w:r>
              <w:rPr>
                <w:spacing w:val="-1"/>
              </w:rPr>
              <w:t xml:space="preserve">23,779,354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56" w:type="dxa"/>
            <w:tcBorders>
              <w:bottom w:val="single" w:sz="2" w:space="0" w:color="666666"/>
            </w:tcBorders>
            <w:tcMar>
              <w:bottom w:w="88" w:type="dxa"/>
            </w:tcMar>
            <w:vAlign w:val="center"/>
          </w:tcPr>
          <w:p>
            <w:pPr>
              <w:pStyle w:val="TableContents"/>
              <w:bidi w:val="0"/>
              <w:spacing w:lineRule="atLeast" w:line="255"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88" w:type="dxa"/>
            </w:tcMar>
            <w:vAlign w:val="center"/>
          </w:tcPr>
          <w:p>
            <w:pPr>
              <w:pStyle w:val="TableContents"/>
              <w:bidi w:val="0"/>
              <w:spacing w:lineRule="atLeast" w:line="255" w:before="0" w:after="0"/>
              <w:jc w:val="center"/>
              <w:rPr>
                <w:spacing w:val="-1"/>
              </w:rPr>
            </w:pPr>
            <w:r>
              <w:rPr>
                <w:spacing w:val="-1"/>
              </w:rPr>
              <w:t xml:space="preserve">3,456,024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88" w:type="dxa"/>
            </w:tcMar>
            <w:vAlign w:val="center"/>
          </w:tcPr>
          <w:p>
            <w:pPr>
              <w:pStyle w:val="TableContents"/>
              <w:bidi w:val="0"/>
              <w:spacing w:lineRule="atLeast" w:line="255" w:before="0" w:after="0"/>
              <w:jc w:val="center"/>
              <w:rPr>
                <w:spacing w:val="-1"/>
              </w:rPr>
            </w:pPr>
            <w:r>
              <w:rPr>
                <w:spacing w:val="-1"/>
              </w:rPr>
              <w:t xml:space="preserve">20,048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96" w:type="dxa"/>
            <w:tcBorders>
              <w:bottom w:val="single" w:sz="2" w:space="0" w:color="666666"/>
            </w:tcBorders>
            <w:tcMar>
              <w:bottom w:w="88" w:type="dxa"/>
            </w:tcMar>
            <w:vAlign w:val="center"/>
          </w:tcPr>
          <w:p>
            <w:pPr>
              <w:pStyle w:val="TableContents"/>
              <w:bidi w:val="0"/>
              <w:spacing w:lineRule="atLeast" w:line="255" w:before="0" w:after="0"/>
              <w:jc w:val="center"/>
              <w:rPr>
                <w:spacing w:val="-1"/>
              </w:rPr>
            </w:pPr>
            <w:r>
              <w:rPr>
                <w:spacing w:val="-1"/>
              </w:rPr>
              <w:t xml:space="preserve">28,349,672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336" w:type="dxa"/>
            <w:vMerge w:val="continue"/>
            <w:tcBorders>
              <w:bottom w:val="single" w:sz="2" w:space="0" w:color="666666"/>
            </w:tcBorders>
            <w:tcMar>
              <w:bottom w:w="8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83"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2025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1,060,000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96"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56"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2,654,558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8,377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9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3,722,935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336" w:type="dxa"/>
            <w:vMerge w:val="continue"/>
            <w:tcBorders>
              <w:bottom w:val="single" w:sz="2" w:space="0" w:color="666666"/>
            </w:tcBorders>
            <w:tcMar>
              <w:bottom w:w="8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83"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2024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81,538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9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100,915,375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56"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500,096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9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101,497,009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336" w:type="dxa"/>
            <w:vMerge w:val="restart"/>
            <w:tcBorders>
              <w:bottom w:val="single" w:sz="2" w:space="0" w:color="666666"/>
            </w:tcBorders>
            <w:tcMar>
              <w:bottom w:w="88" w:type="dxa"/>
            </w:tcMar>
            <w:vAlign w:val="center"/>
          </w:tcPr>
          <w:p>
            <w:pPr>
              <w:pStyle w:val="TableContents"/>
              <w:bidi w:val="0"/>
              <w:spacing w:lineRule="atLeast" w:line="255" w:before="0" w:after="0"/>
              <w:jc w:val="left"/>
              <w:rPr>
                <w:b/>
              </w:rPr>
            </w:pPr>
            <w:r>
              <w:rPr>
                <w:b/>
                <w:spacing w:val="0"/>
              </w:rPr>
              <w:t>Sherri Luther</w:t>
            </w:r>
            <w:r>
              <w:rPr>
                <w:b/>
              </w:rPr>
              <w:t xml:space="preserve"> </w:t>
              <w:br/>
            </w:r>
            <w:r>
              <w:rPr>
                <w:b w:val="false"/>
                <w:spacing w:val="-1"/>
              </w:rPr>
              <w:t xml:space="preserve">Chief Financial Officer and Treasurer </w:t>
            </w:r>
          </w:p>
        </w:tc>
        <w:tc>
          <w:tcPr>
            <w:tcW w:w="109"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83" w:type="dxa"/>
            <w:tcBorders>
              <w:bottom w:val="single" w:sz="2" w:space="0" w:color="666666"/>
            </w:tcBorders>
            <w:tcMar>
              <w:bottom w:w="88" w:type="dxa"/>
            </w:tcMar>
            <w:vAlign w:val="center"/>
          </w:tcPr>
          <w:p>
            <w:pPr>
              <w:pStyle w:val="TableContents"/>
              <w:bidi w:val="0"/>
              <w:spacing w:lineRule="atLeast" w:line="255" w:before="0" w:after="0"/>
              <w:jc w:val="center"/>
              <w:rPr>
                <w:spacing w:val="-1"/>
              </w:rPr>
            </w:pPr>
            <w:r>
              <w:rPr>
                <w:spacing w:val="-1"/>
              </w:rPr>
              <w:t xml:space="preserve">2026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8" w:type="dxa"/>
            </w:tcMar>
            <w:vAlign w:val="center"/>
          </w:tcPr>
          <w:p>
            <w:pPr>
              <w:pStyle w:val="TableContents"/>
              <w:bidi w:val="0"/>
              <w:spacing w:lineRule="atLeast" w:line="255" w:before="0" w:after="0"/>
              <w:jc w:val="center"/>
              <w:rPr>
                <w:spacing w:val="-1"/>
              </w:rPr>
            </w:pPr>
            <w:r>
              <w:rPr>
                <w:spacing w:val="-1"/>
              </w:rPr>
              <w:t xml:space="preserve">650,240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96" w:type="dxa"/>
            <w:tcBorders>
              <w:bottom w:val="single" w:sz="2" w:space="0" w:color="666666"/>
            </w:tcBorders>
            <w:tcMar>
              <w:bottom w:w="88" w:type="dxa"/>
            </w:tcMar>
            <w:vAlign w:val="center"/>
          </w:tcPr>
          <w:p>
            <w:pPr>
              <w:pStyle w:val="TableContents"/>
              <w:bidi w:val="0"/>
              <w:spacing w:lineRule="atLeast" w:line="255" w:before="0" w:after="0"/>
              <w:jc w:val="center"/>
              <w:rPr>
                <w:spacing w:val="-1"/>
              </w:rPr>
            </w:pPr>
            <w:r>
              <w:rPr>
                <w:spacing w:val="-1"/>
              </w:rPr>
              <w:t xml:space="preserve">4,786,469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56" w:type="dxa"/>
            <w:tcBorders>
              <w:bottom w:val="single" w:sz="2" w:space="0" w:color="666666"/>
            </w:tcBorders>
            <w:tcMar>
              <w:bottom w:w="88" w:type="dxa"/>
            </w:tcMar>
            <w:vAlign w:val="center"/>
          </w:tcPr>
          <w:p>
            <w:pPr>
              <w:pStyle w:val="TableContents"/>
              <w:bidi w:val="0"/>
              <w:spacing w:lineRule="atLeast" w:line="255"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88" w:type="dxa"/>
            </w:tcMar>
            <w:vAlign w:val="center"/>
          </w:tcPr>
          <w:p>
            <w:pPr>
              <w:pStyle w:val="TableContents"/>
              <w:bidi w:val="0"/>
              <w:spacing w:lineRule="atLeast" w:line="255" w:before="0" w:after="0"/>
              <w:jc w:val="center"/>
              <w:rPr>
                <w:spacing w:val="-1"/>
              </w:rPr>
            </w:pPr>
            <w:r>
              <w:rPr>
                <w:spacing w:val="-1"/>
              </w:rPr>
              <w:t xml:space="preserve">1,059,844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88" w:type="dxa"/>
            </w:tcMar>
            <w:vAlign w:val="center"/>
          </w:tcPr>
          <w:p>
            <w:pPr>
              <w:pStyle w:val="TableContents"/>
              <w:bidi w:val="0"/>
              <w:spacing w:lineRule="atLeast" w:line="255" w:before="0" w:after="0"/>
              <w:jc w:val="center"/>
              <w:rPr>
                <w:spacing w:val="-1"/>
              </w:rPr>
            </w:pPr>
            <w:r>
              <w:rPr>
                <w:spacing w:val="-1"/>
              </w:rPr>
              <w:t xml:space="preserve">15,814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96" w:type="dxa"/>
            <w:tcBorders>
              <w:bottom w:val="single" w:sz="2" w:space="0" w:color="666666"/>
            </w:tcBorders>
            <w:tcMar>
              <w:bottom w:w="88" w:type="dxa"/>
            </w:tcMar>
            <w:vAlign w:val="center"/>
          </w:tcPr>
          <w:p>
            <w:pPr>
              <w:pStyle w:val="TableContents"/>
              <w:bidi w:val="0"/>
              <w:spacing w:lineRule="atLeast" w:line="255" w:before="0" w:after="0"/>
              <w:jc w:val="center"/>
              <w:rPr>
                <w:spacing w:val="-1"/>
              </w:rPr>
            </w:pPr>
            <w:r>
              <w:rPr>
                <w:spacing w:val="-1"/>
              </w:rPr>
              <w:t xml:space="preserve">6,512,367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336" w:type="dxa"/>
            <w:vMerge w:val="continue"/>
            <w:tcBorders>
              <w:bottom w:val="single" w:sz="2" w:space="0" w:color="666666"/>
            </w:tcBorders>
            <w:tcMar>
              <w:bottom w:w="8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83"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2025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435,096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9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28,692,017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56"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874,563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516,953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9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30,518,629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336" w:type="dxa"/>
            <w:vMerge w:val="restart"/>
            <w:tcBorders>
              <w:bottom w:val="single" w:sz="2" w:space="0" w:color="666666"/>
            </w:tcBorders>
            <w:tcMar>
              <w:bottom w:w="88" w:type="dxa"/>
            </w:tcMar>
            <w:vAlign w:val="center"/>
          </w:tcPr>
          <w:p>
            <w:pPr>
              <w:pStyle w:val="TableContents"/>
              <w:bidi w:val="0"/>
              <w:spacing w:lineRule="atLeast" w:line="255" w:before="0" w:after="0"/>
              <w:jc w:val="left"/>
              <w:rPr/>
            </w:pPr>
            <w:r>
              <w:rPr>
                <w:b/>
                <w:spacing w:val="0"/>
              </w:rPr>
              <w:t>Rob Beard</w:t>
            </w:r>
            <w:r>
              <w:rPr/>
              <w:t xml:space="preserve"> </w:t>
              <w:br/>
            </w:r>
            <w:r>
              <w:rPr>
                <w:spacing w:val="-1"/>
              </w:rPr>
              <w:t xml:space="preserve">Chief Legal and Global Affairs Officer and Secretary </w:t>
            </w:r>
          </w:p>
        </w:tc>
        <w:tc>
          <w:tcPr>
            <w:tcW w:w="109"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83" w:type="dxa"/>
            <w:tcBorders>
              <w:bottom w:val="single" w:sz="2" w:space="0" w:color="666666"/>
            </w:tcBorders>
            <w:tcMar>
              <w:bottom w:w="88" w:type="dxa"/>
            </w:tcMar>
            <w:vAlign w:val="center"/>
          </w:tcPr>
          <w:p>
            <w:pPr>
              <w:pStyle w:val="TableContents"/>
              <w:bidi w:val="0"/>
              <w:spacing w:lineRule="atLeast" w:line="255" w:before="0" w:after="0"/>
              <w:jc w:val="center"/>
              <w:rPr>
                <w:spacing w:val="-1"/>
              </w:rPr>
            </w:pPr>
            <w:r>
              <w:rPr>
                <w:spacing w:val="-1"/>
              </w:rPr>
              <w:t xml:space="preserve">2026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8" w:type="dxa"/>
            </w:tcMar>
            <w:vAlign w:val="center"/>
          </w:tcPr>
          <w:p>
            <w:pPr>
              <w:pStyle w:val="TableContents"/>
              <w:bidi w:val="0"/>
              <w:spacing w:lineRule="atLeast" w:line="255" w:before="0" w:after="0"/>
              <w:jc w:val="center"/>
              <w:rPr>
                <w:spacing w:val="-1"/>
              </w:rPr>
            </w:pPr>
            <w:r>
              <w:rPr>
                <w:spacing w:val="-1"/>
              </w:rPr>
              <w:t xml:space="preserve">681,323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96" w:type="dxa"/>
            <w:tcBorders>
              <w:bottom w:val="single" w:sz="2" w:space="0" w:color="666666"/>
            </w:tcBorders>
            <w:tcMar>
              <w:bottom w:w="88" w:type="dxa"/>
            </w:tcMar>
            <w:vAlign w:val="center"/>
          </w:tcPr>
          <w:p>
            <w:pPr>
              <w:pStyle w:val="TableContents"/>
              <w:bidi w:val="0"/>
              <w:spacing w:lineRule="atLeast" w:line="255" w:before="0" w:after="0"/>
              <w:jc w:val="center"/>
              <w:rPr>
                <w:spacing w:val="-1"/>
              </w:rPr>
            </w:pPr>
            <w:r>
              <w:rPr>
                <w:spacing w:val="-1"/>
              </w:rPr>
              <w:t xml:space="preserve">4,408,601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56" w:type="dxa"/>
            <w:tcBorders>
              <w:bottom w:val="single" w:sz="2" w:space="0" w:color="666666"/>
            </w:tcBorders>
            <w:tcMar>
              <w:bottom w:w="88" w:type="dxa"/>
            </w:tcMar>
            <w:vAlign w:val="center"/>
          </w:tcPr>
          <w:p>
            <w:pPr>
              <w:pStyle w:val="TableContents"/>
              <w:bidi w:val="0"/>
              <w:spacing w:lineRule="atLeast" w:line="255"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88" w:type="dxa"/>
            </w:tcMar>
            <w:vAlign w:val="center"/>
          </w:tcPr>
          <w:p>
            <w:pPr>
              <w:pStyle w:val="TableContents"/>
              <w:bidi w:val="0"/>
              <w:spacing w:lineRule="atLeast" w:line="255" w:before="0" w:after="0"/>
              <w:jc w:val="center"/>
              <w:rPr>
                <w:spacing w:val="-1"/>
              </w:rPr>
            </w:pPr>
            <w:r>
              <w:rPr>
                <w:spacing w:val="-1"/>
              </w:rPr>
              <w:t xml:space="preserve">1,108,536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88" w:type="dxa"/>
            </w:tcMar>
            <w:vAlign w:val="center"/>
          </w:tcPr>
          <w:p>
            <w:pPr>
              <w:pStyle w:val="TableContents"/>
              <w:bidi w:val="0"/>
              <w:spacing w:lineRule="atLeast" w:line="255" w:before="0" w:after="0"/>
              <w:jc w:val="center"/>
              <w:rPr>
                <w:spacing w:val="-1"/>
              </w:rPr>
            </w:pPr>
            <w:r>
              <w:rPr>
                <w:spacing w:val="-1"/>
              </w:rPr>
              <w:t xml:space="preserve">13,060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96" w:type="dxa"/>
            <w:tcBorders>
              <w:bottom w:val="single" w:sz="2" w:space="0" w:color="666666"/>
            </w:tcBorders>
            <w:tcMar>
              <w:bottom w:w="88" w:type="dxa"/>
            </w:tcMar>
            <w:vAlign w:val="center"/>
          </w:tcPr>
          <w:p>
            <w:pPr>
              <w:pStyle w:val="TableContents"/>
              <w:bidi w:val="0"/>
              <w:spacing w:lineRule="atLeast" w:line="255" w:before="0" w:after="0"/>
              <w:jc w:val="center"/>
              <w:rPr>
                <w:spacing w:val="-1"/>
              </w:rPr>
            </w:pPr>
            <w:r>
              <w:rPr>
                <w:spacing w:val="-1"/>
              </w:rPr>
              <w:t xml:space="preserve">6,211,520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336" w:type="dxa"/>
            <w:vMerge w:val="continue"/>
            <w:tcBorders>
              <w:bottom w:val="single" w:sz="2" w:space="0" w:color="666666"/>
            </w:tcBorders>
            <w:tcMar>
              <w:bottom w:w="8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83"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2025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444,231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9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13,173,670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56"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923,538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36,372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9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14,577,811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336" w:type="dxa"/>
            <w:vMerge w:val="restart"/>
            <w:tcBorders>
              <w:bottom w:val="single" w:sz="2" w:space="0" w:color="666666"/>
            </w:tcBorders>
            <w:tcMar>
              <w:bottom w:w="88" w:type="dxa"/>
            </w:tcMar>
            <w:vAlign w:val="center"/>
          </w:tcPr>
          <w:p>
            <w:pPr>
              <w:pStyle w:val="TableContents"/>
              <w:bidi w:val="0"/>
              <w:spacing w:lineRule="atLeast" w:line="255" w:before="0" w:after="0"/>
              <w:jc w:val="left"/>
              <w:rPr>
                <w:b/>
              </w:rPr>
            </w:pPr>
            <w:r>
              <w:rPr>
                <w:b/>
                <w:spacing w:val="0"/>
              </w:rPr>
              <w:t>Julie Eng</w:t>
            </w:r>
            <w:r>
              <w:rPr>
                <w:b/>
              </w:rPr>
              <w:t xml:space="preserve"> </w:t>
              <w:br/>
            </w:r>
            <w:r>
              <w:rPr>
                <w:b w:val="false"/>
                <w:spacing w:val="-1"/>
              </w:rPr>
              <w:t xml:space="preserve">Chief Technology Officer </w:t>
            </w:r>
          </w:p>
        </w:tc>
        <w:tc>
          <w:tcPr>
            <w:tcW w:w="109"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83" w:type="dxa"/>
            <w:tcBorders>
              <w:bottom w:val="single" w:sz="2" w:space="0" w:color="666666"/>
            </w:tcBorders>
            <w:tcMar>
              <w:bottom w:w="88" w:type="dxa"/>
            </w:tcMar>
            <w:vAlign w:val="center"/>
          </w:tcPr>
          <w:p>
            <w:pPr>
              <w:pStyle w:val="TableContents"/>
              <w:bidi w:val="0"/>
              <w:spacing w:lineRule="atLeast" w:line="255" w:before="0" w:after="0"/>
              <w:jc w:val="center"/>
              <w:rPr>
                <w:spacing w:val="-1"/>
              </w:rPr>
            </w:pPr>
            <w:r>
              <w:rPr>
                <w:spacing w:val="-1"/>
              </w:rPr>
              <w:t xml:space="preserve">2026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8" w:type="dxa"/>
            </w:tcMar>
            <w:vAlign w:val="center"/>
          </w:tcPr>
          <w:p>
            <w:pPr>
              <w:pStyle w:val="TableContents"/>
              <w:bidi w:val="0"/>
              <w:spacing w:lineRule="atLeast" w:line="255" w:before="0" w:after="0"/>
              <w:jc w:val="center"/>
              <w:rPr>
                <w:spacing w:val="-1"/>
              </w:rPr>
            </w:pPr>
            <w:r>
              <w:rPr>
                <w:spacing w:val="-1"/>
              </w:rPr>
              <w:t xml:space="preserve">542,049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96" w:type="dxa"/>
            <w:tcBorders>
              <w:bottom w:val="single" w:sz="2" w:space="0" w:color="666666"/>
            </w:tcBorders>
            <w:tcMar>
              <w:bottom w:w="88" w:type="dxa"/>
            </w:tcMar>
            <w:vAlign w:val="center"/>
          </w:tcPr>
          <w:p>
            <w:pPr>
              <w:pStyle w:val="TableContents"/>
              <w:bidi w:val="0"/>
              <w:spacing w:lineRule="atLeast" w:line="255" w:before="0" w:after="0"/>
              <w:jc w:val="center"/>
              <w:rPr>
                <w:spacing w:val="-1"/>
              </w:rPr>
            </w:pPr>
            <w:r>
              <w:rPr>
                <w:spacing w:val="-1"/>
              </w:rPr>
              <w:t xml:space="preserve">9,322,444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56" w:type="dxa"/>
            <w:tcBorders>
              <w:bottom w:val="single" w:sz="2" w:space="0" w:color="666666"/>
            </w:tcBorders>
            <w:tcMar>
              <w:bottom w:w="88" w:type="dxa"/>
            </w:tcMar>
            <w:vAlign w:val="center"/>
          </w:tcPr>
          <w:p>
            <w:pPr>
              <w:pStyle w:val="TableContents"/>
              <w:bidi w:val="0"/>
              <w:spacing w:lineRule="atLeast" w:line="255"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88" w:type="dxa"/>
            </w:tcMar>
            <w:vAlign w:val="center"/>
          </w:tcPr>
          <w:p>
            <w:pPr>
              <w:pStyle w:val="TableContents"/>
              <w:bidi w:val="0"/>
              <w:spacing w:lineRule="atLeast" w:line="255" w:before="0" w:after="0"/>
              <w:jc w:val="center"/>
              <w:rPr>
                <w:spacing w:val="-1"/>
              </w:rPr>
            </w:pPr>
            <w:r>
              <w:rPr>
                <w:spacing w:val="-1"/>
              </w:rPr>
              <w:t xml:space="preserve">890,986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88" w:type="dxa"/>
            </w:tcMar>
            <w:vAlign w:val="center"/>
          </w:tcPr>
          <w:p>
            <w:pPr>
              <w:pStyle w:val="TableContents"/>
              <w:bidi w:val="0"/>
              <w:spacing w:lineRule="atLeast" w:line="255" w:before="0" w:after="0"/>
              <w:jc w:val="center"/>
              <w:rPr>
                <w:spacing w:val="-1"/>
              </w:rPr>
            </w:pPr>
            <w:r>
              <w:rPr>
                <w:spacing w:val="-1"/>
              </w:rPr>
              <w:t xml:space="preserve">21,492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96" w:type="dxa"/>
            <w:tcBorders>
              <w:bottom w:val="single" w:sz="2" w:space="0" w:color="666666"/>
            </w:tcBorders>
            <w:tcMar>
              <w:bottom w:w="88" w:type="dxa"/>
            </w:tcMar>
            <w:vAlign w:val="center"/>
          </w:tcPr>
          <w:p>
            <w:pPr>
              <w:pStyle w:val="TableContents"/>
              <w:bidi w:val="0"/>
              <w:spacing w:lineRule="atLeast" w:line="255" w:before="0" w:after="0"/>
              <w:jc w:val="center"/>
              <w:rPr>
                <w:spacing w:val="-1"/>
              </w:rPr>
            </w:pPr>
            <w:r>
              <w:rPr>
                <w:spacing w:val="-1"/>
              </w:rPr>
              <w:t xml:space="preserve">10,776,971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336" w:type="dxa"/>
            <w:vMerge w:val="continue"/>
            <w:tcBorders>
              <w:bottom w:val="single" w:sz="2" w:space="0" w:color="666666"/>
            </w:tcBorders>
            <w:tcMar>
              <w:bottom w:w="8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83"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2025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497,831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9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4,222,174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56"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701,805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22,139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9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5,443,949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336" w:type="dxa"/>
            <w:tcBorders>
              <w:bottom w:val="single" w:sz="2" w:space="0" w:color="666666"/>
            </w:tcBorders>
            <w:tcMar>
              <w:bottom w:w="64" w:type="dxa"/>
            </w:tcMar>
            <w:vAlign w:val="center"/>
          </w:tcPr>
          <w:p>
            <w:pPr>
              <w:pStyle w:val="TableContents"/>
              <w:bidi w:val="0"/>
              <w:spacing w:before="0" w:after="0"/>
              <w:jc w:val="left"/>
              <w:rPr>
                <w:b/>
              </w:rPr>
            </w:pPr>
            <w:r>
              <w:rPr>
                <w:b/>
                <w:spacing w:val="0"/>
              </w:rPr>
              <w:t>Jeffrey Place</w:t>
            </w:r>
            <w:r>
              <w:rPr>
                <w:b/>
              </w:rPr>
              <w:t xml:space="preserve"> </w:t>
              <w:br/>
            </w:r>
            <w:r>
              <w:rPr>
                <w:b w:val="false"/>
                <w:spacing w:val="-1"/>
              </w:rPr>
              <w:t xml:space="preserve">Chief Supply Chain Officer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83" w:type="dxa"/>
            <w:tcBorders>
              <w:bottom w:val="single" w:sz="2" w:space="0" w:color="666666"/>
            </w:tcBorders>
            <w:tcMar>
              <w:bottom w:w="64" w:type="dxa"/>
            </w:tcMar>
            <w:vAlign w:val="center"/>
          </w:tcPr>
          <w:p>
            <w:pPr>
              <w:pStyle w:val="TableContents"/>
              <w:bidi w:val="0"/>
              <w:spacing w:before="0" w:after="0"/>
              <w:jc w:val="center"/>
              <w:rPr>
                <w:spacing w:val="-1"/>
              </w:rPr>
            </w:pPr>
            <w:r>
              <w:rPr>
                <w:spacing w:val="-1"/>
              </w:rPr>
              <w:t xml:space="preserve">2026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64" w:type="dxa"/>
            </w:tcMar>
            <w:vAlign w:val="center"/>
          </w:tcPr>
          <w:p>
            <w:pPr>
              <w:pStyle w:val="TableContents"/>
              <w:bidi w:val="0"/>
              <w:spacing w:before="0" w:after="0"/>
              <w:jc w:val="center"/>
              <w:rPr>
                <w:spacing w:val="-1"/>
              </w:rPr>
            </w:pPr>
            <w:r>
              <w:rPr>
                <w:spacing w:val="-1"/>
              </w:rPr>
              <w:t xml:space="preserve">537,308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96" w:type="dxa"/>
            <w:tcBorders>
              <w:bottom w:val="single" w:sz="2" w:space="0" w:color="666666"/>
            </w:tcBorders>
            <w:tcMar>
              <w:bottom w:w="64" w:type="dxa"/>
            </w:tcMar>
            <w:vAlign w:val="center"/>
          </w:tcPr>
          <w:p>
            <w:pPr>
              <w:pStyle w:val="TableContents"/>
              <w:bidi w:val="0"/>
              <w:spacing w:before="0" w:after="0"/>
              <w:jc w:val="center"/>
              <w:rPr>
                <w:spacing w:val="-1"/>
              </w:rPr>
            </w:pPr>
            <w:r>
              <w:rPr>
                <w:spacing w:val="-1"/>
              </w:rPr>
              <w:t xml:space="preserve">5,157,561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56" w:type="dxa"/>
            <w:tcBorders>
              <w:bottom w:val="single" w:sz="2" w:space="0" w:color="666666"/>
            </w:tcBorders>
            <w:tcMar>
              <w:bottom w:w="64"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64" w:type="dxa"/>
            </w:tcMar>
            <w:vAlign w:val="center"/>
          </w:tcPr>
          <w:p>
            <w:pPr>
              <w:pStyle w:val="TableContents"/>
              <w:bidi w:val="0"/>
              <w:spacing w:before="0" w:after="0"/>
              <w:jc w:val="center"/>
              <w:rPr>
                <w:spacing w:val="-1"/>
              </w:rPr>
            </w:pPr>
            <w:r>
              <w:rPr>
                <w:spacing w:val="-1"/>
              </w:rPr>
              <w:t xml:space="preserve">888,250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64" w:type="dxa"/>
            </w:tcMar>
            <w:vAlign w:val="center"/>
          </w:tcPr>
          <w:p>
            <w:pPr>
              <w:pStyle w:val="TableContents"/>
              <w:bidi w:val="0"/>
              <w:spacing w:before="0" w:after="0"/>
              <w:jc w:val="center"/>
              <w:rPr>
                <w:spacing w:val="-1"/>
              </w:rPr>
            </w:pPr>
            <w:r>
              <w:rPr>
                <w:spacing w:val="-1"/>
              </w:rPr>
              <w:t xml:space="preserve">170,703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96" w:type="dxa"/>
            <w:tcBorders>
              <w:bottom w:val="single" w:sz="2" w:space="0" w:color="666666"/>
            </w:tcBorders>
            <w:tcMar>
              <w:bottom w:w="64" w:type="dxa"/>
            </w:tcMar>
            <w:vAlign w:val="center"/>
          </w:tcPr>
          <w:p>
            <w:pPr>
              <w:pStyle w:val="TableContents"/>
              <w:bidi w:val="0"/>
              <w:spacing w:before="0" w:after="0"/>
              <w:jc w:val="center"/>
              <w:rPr>
                <w:spacing w:val="-1"/>
              </w:rPr>
            </w:pPr>
            <w:r>
              <w:rPr>
                <w:spacing w:val="-1"/>
              </w:rPr>
              <w:t xml:space="preserve">6,753,822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336" w:type="dxa"/>
            <w:vMerge w:val="restart"/>
            <w:tcBorders>
              <w:bottom w:val="single" w:sz="2" w:space="0" w:color="666666"/>
            </w:tcBorders>
            <w:tcMar>
              <w:bottom w:w="88" w:type="dxa"/>
            </w:tcMar>
            <w:vAlign w:val="center"/>
          </w:tcPr>
          <w:p>
            <w:pPr>
              <w:pStyle w:val="TableContents"/>
              <w:bidi w:val="0"/>
              <w:spacing w:lineRule="atLeast" w:line="255" w:before="0" w:after="0"/>
              <w:jc w:val="left"/>
              <w:rPr/>
            </w:pPr>
            <w:r>
              <w:rPr>
                <w:b/>
                <w:spacing w:val="0"/>
              </w:rPr>
              <w:t>Giovanni Barbarossa</w:t>
            </w:r>
            <w:r>
              <w:rPr>
                <w:bCs/>
                <w:spacing w:val="-2"/>
                <w:szCs w:val="12"/>
              </w:rPr>
              <w:t>﻿</w:t>
            </w:r>
            <w:r>
              <w:rPr>
                <w:b/>
                <w:spacing w:val="-2"/>
                <w:sz w:val="12"/>
              </w:rPr>
              <w:t>5</w:t>
            </w:r>
            <w:r>
              <w:rPr>
                <w:b/>
              </w:rPr>
              <w:t xml:space="preserve"> </w:t>
              <w:br/>
            </w:r>
            <w:r>
              <w:rPr>
                <w:b w:val="false"/>
                <w:spacing w:val="-1"/>
              </w:rPr>
              <w:t xml:space="preserve">Former Chief Strategy Officer </w:t>
            </w:r>
          </w:p>
        </w:tc>
        <w:tc>
          <w:tcPr>
            <w:tcW w:w="109"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83" w:type="dxa"/>
            <w:tcBorders>
              <w:bottom w:val="single" w:sz="2" w:space="0" w:color="666666"/>
            </w:tcBorders>
            <w:tcMar>
              <w:bottom w:w="88" w:type="dxa"/>
            </w:tcMar>
            <w:vAlign w:val="center"/>
          </w:tcPr>
          <w:p>
            <w:pPr>
              <w:pStyle w:val="TableContents"/>
              <w:bidi w:val="0"/>
              <w:spacing w:lineRule="atLeast" w:line="255" w:before="0" w:after="0"/>
              <w:jc w:val="center"/>
              <w:rPr>
                <w:spacing w:val="-1"/>
              </w:rPr>
            </w:pPr>
            <w:r>
              <w:rPr>
                <w:spacing w:val="-1"/>
              </w:rPr>
              <w:t xml:space="preserve">2026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8" w:type="dxa"/>
            </w:tcMar>
            <w:vAlign w:val="center"/>
          </w:tcPr>
          <w:p>
            <w:pPr>
              <w:pStyle w:val="TableContents"/>
              <w:bidi w:val="0"/>
              <w:spacing w:lineRule="atLeast" w:line="255" w:before="0" w:after="0"/>
              <w:jc w:val="center"/>
              <w:rPr>
                <w:spacing w:val="-1"/>
              </w:rPr>
            </w:pPr>
            <w:r>
              <w:rPr>
                <w:spacing w:val="-1"/>
              </w:rPr>
              <w:t xml:space="preserve">676,402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96" w:type="dxa"/>
            <w:tcBorders>
              <w:bottom w:val="single" w:sz="2" w:space="0" w:color="666666"/>
            </w:tcBorders>
            <w:tcMar>
              <w:bottom w:w="88" w:type="dxa"/>
            </w:tcMar>
            <w:vAlign w:val="center"/>
          </w:tcPr>
          <w:p>
            <w:pPr>
              <w:pStyle w:val="TableContents"/>
              <w:bidi w:val="0"/>
              <w:spacing w:lineRule="atLeast" w:line="255" w:before="0" w:after="0"/>
              <w:jc w:val="center"/>
              <w:rPr>
                <w:spacing w:val="-1"/>
              </w:rPr>
            </w:pPr>
            <w:r>
              <w:rPr>
                <w:spacing w:val="-1"/>
              </w:rPr>
              <w:t xml:space="preserve">3,526,815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56" w:type="dxa"/>
            <w:tcBorders>
              <w:bottom w:val="single" w:sz="2" w:space="0" w:color="666666"/>
            </w:tcBorders>
            <w:tcMar>
              <w:bottom w:w="88" w:type="dxa"/>
            </w:tcMar>
            <w:vAlign w:val="center"/>
          </w:tcPr>
          <w:p>
            <w:pPr>
              <w:pStyle w:val="TableContents"/>
              <w:bidi w:val="0"/>
              <w:spacing w:lineRule="atLeast" w:line="255"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88" w:type="dxa"/>
            </w:tcMar>
            <w:vAlign w:val="center"/>
          </w:tcPr>
          <w:p>
            <w:pPr>
              <w:pStyle w:val="TableContents"/>
              <w:bidi w:val="0"/>
              <w:spacing w:lineRule="atLeast" w:line="255" w:before="0" w:after="0"/>
              <w:jc w:val="center"/>
              <w:rPr>
                <w:spacing w:val="-1"/>
              </w:rPr>
            </w:pPr>
            <w:r>
              <w:rPr>
                <w:spacing w:val="-1"/>
              </w:rPr>
              <w:t xml:space="preserve">1,098,542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88" w:type="dxa"/>
            </w:tcMar>
            <w:vAlign w:val="center"/>
          </w:tcPr>
          <w:p>
            <w:pPr>
              <w:pStyle w:val="TableContents"/>
              <w:bidi w:val="0"/>
              <w:spacing w:lineRule="atLeast" w:line="255" w:before="0" w:after="0"/>
              <w:jc w:val="center"/>
              <w:rPr>
                <w:spacing w:val="-1"/>
              </w:rPr>
            </w:pPr>
            <w:r>
              <w:rPr>
                <w:spacing w:val="-1"/>
              </w:rPr>
              <w:t xml:space="preserve">20,774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96" w:type="dxa"/>
            <w:tcBorders>
              <w:bottom w:val="single" w:sz="2" w:space="0" w:color="666666"/>
            </w:tcBorders>
            <w:tcMar>
              <w:bottom w:w="88" w:type="dxa"/>
            </w:tcMar>
            <w:vAlign w:val="center"/>
          </w:tcPr>
          <w:p>
            <w:pPr>
              <w:pStyle w:val="TableContents"/>
              <w:bidi w:val="0"/>
              <w:spacing w:lineRule="atLeast" w:line="255" w:before="0" w:after="0"/>
              <w:jc w:val="center"/>
              <w:rPr>
                <w:spacing w:val="-1"/>
              </w:rPr>
            </w:pPr>
            <w:r>
              <w:rPr>
                <w:spacing w:val="-1"/>
              </w:rPr>
              <w:t xml:space="preserve">5,322,533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336" w:type="dxa"/>
            <w:vMerge w:val="continue"/>
            <w:tcBorders>
              <w:bottom w:val="single" w:sz="2" w:space="0" w:color="666666"/>
            </w:tcBorders>
            <w:tcMar>
              <w:bottom w:w="8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83"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2025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655,515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9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3,351,054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56"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917,223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59,550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9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4,983,342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336" w:type="dxa"/>
            <w:vMerge w:val="continue"/>
            <w:tcBorders>
              <w:bottom w:val="single" w:sz="2" w:space="0" w:color="666666"/>
            </w:tcBorders>
            <w:tcMar>
              <w:bottom w:w="8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583"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2024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635,000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9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2,283,441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56"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188,388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58,292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96" w:type="dxa"/>
            <w:tcBorders>
              <w:bottom w:val="single" w:sz="2" w:space="0" w:color="666666"/>
            </w:tcBorders>
            <w:tcMar>
              <w:bottom w:w="88" w:type="dxa"/>
            </w:tcMar>
            <w:vAlign w:val="center"/>
          </w:tcPr>
          <w:p>
            <w:pPr>
              <w:pStyle w:val="TableContents"/>
              <w:bidi w:val="0"/>
              <w:spacing w:before="0" w:after="0"/>
              <w:jc w:val="center"/>
              <w:rPr/>
            </w:pPr>
            <w:r>
              <w:rPr>
                <w:spacing w:val="-1"/>
              </w:rPr>
              <w:t>3,165,122</w:t>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20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Represents the aggregate grant date fair value of RSUs, and PSUs awarded by the Company during the fiscal years presented, computed in accordance with FASB ASC Topic 718 (excluding the effect of estimated forfeitures). The assumptions used by the Company in calculating these amounts are incorporated herein by reference to Note 13 to the Company’s Consolidated Financial Statements included in its Annual Report on Form 10-K for the fiscal year that ended on June 30, 2026. For RSUs, the grant date fair value was computed based on the closing price of the Common Stock on the date of grant, multiplied by the number of shares awarded.</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127000" distB="0" distL="0" distR="0" simplePos="0" locked="0" layoutInCell="1" allowOverlap="1" relativeHeight="379">
                <wp:simplePos x="0" y="0"/>
                <wp:positionH relativeFrom="column">
                  <wp:align>left</wp:align>
                </wp:positionH>
                <wp:positionV relativeFrom="line">
                  <wp:align>top</wp:align>
                </wp:positionV>
                <wp:extent cx="203200" cy="204470"/>
                <wp:effectExtent l="0" t="0" r="0" b="0"/>
                <wp:wrapSquare wrapText="right"/>
                <wp:docPr id="387" name="Frame169"/>
                <a:graphic xmlns:a="http://schemas.openxmlformats.org/drawingml/2006/main">
                  <a:graphicData uri="http://schemas.microsoft.com/office/word/2010/wordprocessingShape">
                    <wps:wsp>
                      <wps:cNvSpPr txBox="1"/>
                      <wps:spPr>
                        <a:xfrm>
                          <a:off x="0" y="0"/>
                          <a:ext cx="203200" cy="204470"/>
                        </a:xfrm>
                        <a:prstGeom prst="rect"/>
                        <a:solidFill>
                          <a:srgbClr val="FFFFFF"/>
                        </a:solidFill>
                      </wps:spPr>
                      <wps:txbx>
                        <w:txbxContent>
                          <w:p>
                            <w:pPr>
                              <w:pStyle w:val="TextBody"/>
                              <w:bidi w:val="0"/>
                              <w:spacing w:before="0" w:after="283"/>
                              <w:jc w:val="left"/>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16pt;height:16.1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before="0" w:after="283"/>
                        <w:jc w:val="left"/>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The grant date fair value of the PSU awards included in this column was calculated based on the estimate of aggregate compensation expense to be recognized over the service period, excluding the effect of estimated forfeitures. For the fiscal year 2026 PSUs, which have a single rTSR metric, this was calculated based on a Monte Carlo simulation fair value as of the grant date. This amount was $139.89 per share for the awards granted to the NEOs on August 28, 2025 and $169.21 per share for the award granted to James Anderson on August 28, 2025. Please refer to the “Compensation Discussion and Analysis” section of this proxy statement for the target value approved by the Committee.</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50800" distB="0" distL="0" distR="0" simplePos="0" locked="0" layoutInCell="1" allowOverlap="1" relativeHeight="380">
                <wp:simplePos x="0" y="0"/>
                <wp:positionH relativeFrom="column">
                  <wp:align>left</wp:align>
                </wp:positionH>
                <wp:positionV relativeFrom="line">
                  <wp:align>top</wp:align>
                </wp:positionV>
                <wp:extent cx="203200" cy="228600"/>
                <wp:effectExtent l="0" t="0" r="0" b="0"/>
                <wp:wrapSquare wrapText="right"/>
                <wp:docPr id="388" name="Frame170"/>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2.</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2.</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213" w:right="40" w:hanging="0"/>
        <w:jc w:val="left"/>
        <w:rPr>
          <w:rFonts w:ascii="Arial;Helvetica;sans-serif" w:hAnsi="Arial;Helvetica;sans-serif"/>
          <w:b w:val="false"/>
          <w:i w:val="false"/>
          <w:caps w:val="false"/>
          <w:smallCaps w:val="false"/>
          <w:color w:val="000000"/>
          <w:spacing w:val="-1"/>
          <w:sz w:val="14"/>
          <w:shd w:fill="FFFFFF" w:val="clear"/>
        </w:rPr>
      </w:pPr>
      <w:r>
        <w:rPr>
          <w:rFonts w:ascii="Arial;Helvetica;sans-serif" w:hAnsi="Arial;Helvetica;sans-serif"/>
          <w:b w:val="false"/>
          <w:i w:val="false"/>
          <w:caps w:val="false"/>
          <w:smallCaps w:val="false"/>
          <w:color w:val="000000"/>
          <w:spacing w:val="-1"/>
          <w:sz w:val="14"/>
          <w:shd w:fill="FFFFFF" w:val="clear"/>
        </w:rPr>
        <w:t xml:space="preserve">Amounts reflect the cash awards earned by our NEOs under our annual cash incentive program, EIP, which is discussed in further detail in the “Compensation Discussion and Analysis” section of this proxy statement. </w:t>
      </w:r>
      <w:r>
        <mc:AlternateContent>
          <mc:Choice Requires="wps">
            <w:drawing>
              <wp:anchor behindDoc="0" distT="50800" distB="0" distL="0" distR="0" simplePos="0" locked="0" layoutInCell="1" allowOverlap="1" relativeHeight="381">
                <wp:simplePos x="0" y="0"/>
                <wp:positionH relativeFrom="column">
                  <wp:align>left</wp:align>
                </wp:positionH>
                <wp:positionV relativeFrom="line">
                  <wp:align>top</wp:align>
                </wp:positionV>
                <wp:extent cx="203200" cy="228600"/>
                <wp:effectExtent l="0" t="0" r="0" b="0"/>
                <wp:wrapSquare wrapText="right"/>
                <wp:docPr id="389" name="Frame171"/>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3.</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3.</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61</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180" w:before="120" w:after="9211"/>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Amounts reflect premiums paid for life and disability insurance and the Company’s contributions under the Company’s 401(k) retirement plan, which is qualified under Section 401(a) of the Code, and the Deferred Compensation Plan, a non-qualified deferred compensation plan for certain management and certain other highly compensated employees. The Company contributions are matching contributions earned in fiscal year 2026 for the 2025 calendar year.</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0" distB="0" distL="0" distR="0" simplePos="0" locked="0" layoutInCell="1" allowOverlap="1" relativeHeight="382">
                <wp:simplePos x="0" y="0"/>
                <wp:positionH relativeFrom="column">
                  <wp:align>left</wp:align>
                </wp:positionH>
                <wp:positionV relativeFrom="line">
                  <wp:posOffset>635</wp:posOffset>
                </wp:positionV>
                <wp:extent cx="203200" cy="350520"/>
                <wp:effectExtent l="0" t="0" r="0" b="0"/>
                <wp:wrapSquare wrapText="right"/>
                <wp:docPr id="390" name="Frame172"/>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4.</w:t>
                            </w:r>
                            <w:r>
                              <w:rPr/>
                              <w:t xml:space="preserve"> </w:t>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4.</w:t>
                      </w:r>
                      <w:r>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tbl>
      <w:tblPr>
        <w:tblW w:w="9272" w:type="dxa"/>
        <w:jc w:val="left"/>
        <w:tblInd w:w="893" w:type="dxa"/>
        <w:tblLayout w:type="fixed"/>
        <w:tblCellMar>
          <w:top w:w="0" w:type="dxa"/>
          <w:left w:w="0" w:type="dxa"/>
          <w:bottom w:w="0" w:type="dxa"/>
          <w:right w:w="0" w:type="dxa"/>
        </w:tblCellMar>
      </w:tblPr>
      <w:tblGrid>
        <w:gridCol w:w="124"/>
        <w:gridCol w:w="1673"/>
        <w:gridCol w:w="109"/>
        <w:gridCol w:w="109"/>
        <w:gridCol w:w="969"/>
        <w:gridCol w:w="109"/>
        <w:gridCol w:w="109"/>
        <w:gridCol w:w="1669"/>
        <w:gridCol w:w="109"/>
        <w:gridCol w:w="109"/>
        <w:gridCol w:w="1902"/>
        <w:gridCol w:w="109"/>
        <w:gridCol w:w="109"/>
        <w:gridCol w:w="1906"/>
        <w:gridCol w:w="157"/>
      </w:tblGrid>
      <w:tr>
        <w:trPr/>
        <w:tc>
          <w:tcPr>
            <w:tcW w:w="124" w:type="dxa"/>
            <w:tcBorders/>
            <w:shd w:fill="000000" w:val="clear"/>
            <w:vAlign w:val="center"/>
          </w:tcPr>
          <w:p>
            <w:pPr>
              <w:pStyle w:val="TableContents"/>
              <w:bidi w:val="0"/>
              <w:spacing w:before="0" w:after="283"/>
              <w:jc w:val="left"/>
              <w:rPr/>
            </w:pPr>
            <w:r>
              <w:rPr/>
              <w:t>​</w:t>
            </w:r>
          </w:p>
        </w:tc>
        <w:tc>
          <w:tcPr>
            <w:tcW w:w="1673" w:type="dxa"/>
            <w:tcBorders/>
            <w:shd w:fill="000000" w:val="clear"/>
            <w:vAlign w:val="center"/>
          </w:tcPr>
          <w:p>
            <w:pPr>
              <w:pStyle w:val="TableContents"/>
              <w:bidi w:val="0"/>
              <w:spacing w:before="0" w:after="0"/>
              <w:jc w:val="left"/>
              <w:rPr/>
            </w:pPr>
            <w:r>
              <w:rPr/>
              <w:t xml:space="preserve">Name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969" w:type="dxa"/>
            <w:tcBorders/>
            <w:shd w:fill="000000" w:val="clear"/>
            <w:vAlign w:val="center"/>
          </w:tcPr>
          <w:p>
            <w:pPr>
              <w:pStyle w:val="TableContents"/>
              <w:bidi w:val="0"/>
              <w:spacing w:before="0" w:after="0"/>
              <w:jc w:val="center"/>
              <w:rPr/>
            </w:pPr>
            <w:r>
              <w:rPr/>
              <w:t xml:space="preserve">Fiscal Year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69" w:type="dxa"/>
            <w:tcBorders/>
            <w:shd w:fill="000000" w:val="clear"/>
            <w:vAlign w:val="center"/>
          </w:tcPr>
          <w:p>
            <w:pPr>
              <w:pStyle w:val="TableContents"/>
              <w:bidi w:val="0"/>
              <w:spacing w:before="0" w:after="0"/>
              <w:jc w:val="center"/>
              <w:rPr/>
            </w:pPr>
            <w:r>
              <w:rPr/>
              <w:t>Company Matching</w:t>
              <w:br/>
              <w:t>Contribution to</w:t>
              <w:br/>
              <w:t xml:space="preserve">401k Plan ($)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902" w:type="dxa"/>
            <w:tcBorders/>
            <w:shd w:fill="000000" w:val="clear"/>
            <w:vAlign w:val="center"/>
          </w:tcPr>
          <w:p>
            <w:pPr>
              <w:pStyle w:val="TableContents"/>
              <w:bidi w:val="0"/>
              <w:spacing w:before="0" w:after="0"/>
              <w:jc w:val="center"/>
              <w:rPr/>
            </w:pPr>
            <w:r>
              <w:rPr/>
              <w:t>Company Discretionary</w:t>
              <w:br/>
              <w:t>Retirement Plan</w:t>
              <w:br/>
              <w:t xml:space="preserve">Contribution ($)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906" w:type="dxa"/>
            <w:tcBorders/>
            <w:shd w:fill="000000" w:val="clear"/>
            <w:vAlign w:val="center"/>
          </w:tcPr>
          <w:p>
            <w:pPr>
              <w:pStyle w:val="TableContents"/>
              <w:bidi w:val="0"/>
              <w:spacing w:before="0" w:after="0"/>
              <w:jc w:val="center"/>
              <w:rPr/>
            </w:pPr>
            <w:r>
              <w:rPr/>
              <w:t>Company Contribution</w:t>
              <w:br/>
              <w:t>to Deferred Contribution</w:t>
              <w:br/>
              <w:t xml:space="preserve">Plan ($) </w:t>
            </w:r>
          </w:p>
        </w:tc>
        <w:tc>
          <w:tcPr>
            <w:tcW w:w="157"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673"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James R. Anderson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69"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2026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669"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18,806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902"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906"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673"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Sherri Luther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69"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2026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669"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12,250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902"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906"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673"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Rob Beard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69"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2026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669"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12,250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902"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906"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673"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Julie Eng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69"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2026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669"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15,049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902"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906"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673"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Jeffrey Place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69"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2026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669"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19,461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902"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906"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673"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Giovanni Barbarossa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69"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2026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669"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11,963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902"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906"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200" w:after="0"/>
        <w:ind w:left="1213" w:right="40" w:hanging="0"/>
        <w:jc w:val="left"/>
        <w:rPr>
          <w:rFonts w:ascii="Arial;Helvetica;sans-serif" w:hAnsi="Arial;Helvetica;sans-serif"/>
          <w:b w:val="false"/>
          <w:i w:val="false"/>
          <w:caps w:val="false"/>
          <w:smallCaps w:val="false"/>
          <w:color w:val="000000"/>
          <w:spacing w:val="-1"/>
          <w:sz w:val="14"/>
          <w:shd w:fill="FFFFFF" w:val="clear"/>
        </w:rPr>
      </w:pPr>
      <w:r>
        <w:rPr>
          <w:rFonts w:ascii="Arial;Helvetica;sans-serif" w:hAnsi="Arial;Helvetica;sans-serif"/>
          <w:b w:val="false"/>
          <w:i w:val="false"/>
          <w:caps w:val="false"/>
          <w:smallCaps w:val="false"/>
          <w:color w:val="000000"/>
          <w:spacing w:val="-1"/>
          <w:sz w:val="14"/>
          <w:shd w:fill="FFFFFF" w:val="clear"/>
        </w:rPr>
        <w:t xml:space="preserve">Dr. Barbarossa was no longer an executive officer as of May 20, 2026. </w:t>
      </w:r>
      <w:r>
        <mc:AlternateContent>
          <mc:Choice Requires="wps">
            <w:drawing>
              <wp:anchor behindDoc="0" distT="127000" distB="0" distL="0" distR="0" simplePos="0" locked="0" layoutInCell="1" allowOverlap="1" relativeHeight="383">
                <wp:simplePos x="0" y="0"/>
                <wp:positionH relativeFrom="column">
                  <wp:align>left</wp:align>
                </wp:positionH>
                <wp:positionV relativeFrom="line">
                  <wp:align>top</wp:align>
                </wp:positionV>
                <wp:extent cx="203200" cy="350520"/>
                <wp:effectExtent l="0" t="0" r="0" b="0"/>
                <wp:wrapSquare wrapText="right"/>
                <wp:docPr id="391" name="Frame173"/>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before="0" w:after="283"/>
                              <w:jc w:val="left"/>
                              <w:rPr/>
                            </w:pPr>
                            <w:r>
                              <w:rPr>
                                <w:spacing w:val="-1"/>
                              </w:rPr>
                              <w:t>5.</w:t>
                            </w:r>
                            <w:r>
                              <w:rPr/>
                              <w:t xml:space="preserve"> </w:t>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before="0" w:after="283"/>
                        <w:jc w:val="left"/>
                        <w:rPr/>
                      </w:pPr>
                      <w:r>
                        <w:rPr>
                          <w:spacing w:val="-1"/>
                        </w:rPr>
                        <w:t>5.</w:t>
                      </w:r>
                      <w:r>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62</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9" w:name="tGOPA"/>
      <w:bookmarkEnd w:id="1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620" w:before="120" w:after="283"/>
        <w:ind w:left="893" w:right="40" w:hanging="0"/>
        <w:jc w:val="left"/>
        <w:rPr>
          <w:rFonts w:ascii="Tahoma;Geneva;sans-serif" w:hAnsi="Tahoma;Geneva;sans-serif"/>
          <w:b/>
          <w:i w:val="false"/>
          <w:caps w:val="false"/>
          <w:smallCaps w:val="false"/>
          <w:color w:val="0068C7"/>
          <w:sz w:val="60"/>
          <w:shd w:fill="FFFFFF" w:val="clear"/>
        </w:rPr>
      </w:pPr>
      <w:r>
        <w:rPr>
          <w:rFonts w:ascii="Tahoma;Geneva;sans-serif" w:hAnsi="Tahoma;Geneva;sans-serif"/>
          <w:b/>
          <w:i w:val="false"/>
          <w:caps w:val="false"/>
          <w:smallCaps w:val="false"/>
          <w:color w:val="0068C7"/>
          <w:sz w:val="60"/>
          <w:shd w:fill="FFFFFF" w:val="clear"/>
        </w:rPr>
        <w:t>GRANTS OF PLAN-BASED AWARDS IN FISCAL YEAR 2026</w:t>
      </w:r>
      <w:r>
        <w:rPr>
          <w:rFonts w:ascii="Tahoma;Geneva;sans-serif" w:hAnsi="Tahoma;Geneva;sans-serif"/>
          <w:b/>
          <w:i w:val="false"/>
          <w:caps w:val="false"/>
          <w:smallCaps w:val="false"/>
          <w:color w:val="000000"/>
          <w:spacing w:val="12"/>
          <w:sz w:val="60"/>
          <w:shd w:fill="FFFFFF" w:val="clear"/>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following table sets forth each annual, non-equity cash incentive award and long-term equity-based award granted to the NEOs in fiscal year 2026.</w:t>
      </w:r>
      <w:r>
        <w:rPr>
          <w:rFonts w:ascii="Arial;Helvetica;sans-serif" w:hAnsi="Arial;Helvetica;sans-serif"/>
          <w:b w:val="false"/>
          <w:i w:val="false"/>
          <w:caps w:val="false"/>
          <w:smallCaps w:val="false"/>
          <w:color w:val="000000"/>
          <w:spacing w:val="4"/>
          <w:sz w:val="19"/>
          <w:shd w:fill="FFFFFF" w:val="clear"/>
        </w:rPr>
        <w:t xml:space="preserve"> </w:t>
      </w:r>
    </w:p>
    <w:tbl>
      <w:tblPr>
        <w:tblW w:w="12487" w:type="dxa"/>
        <w:jc w:val="left"/>
        <w:tblInd w:w="893" w:type="dxa"/>
        <w:tblLayout w:type="fixed"/>
        <w:tblCellMar>
          <w:top w:w="0" w:type="dxa"/>
          <w:left w:w="0" w:type="dxa"/>
          <w:bottom w:w="0" w:type="dxa"/>
          <w:right w:w="0" w:type="dxa"/>
        </w:tblCellMar>
      </w:tblPr>
      <w:tblGrid>
        <w:gridCol w:w="124"/>
        <w:gridCol w:w="1276"/>
        <w:gridCol w:w="109"/>
        <w:gridCol w:w="109"/>
        <w:gridCol w:w="646"/>
        <w:gridCol w:w="109"/>
        <w:gridCol w:w="109"/>
        <w:gridCol w:w="1066"/>
        <w:gridCol w:w="109"/>
        <w:gridCol w:w="109"/>
        <w:gridCol w:w="1058"/>
        <w:gridCol w:w="109"/>
        <w:gridCol w:w="109"/>
        <w:gridCol w:w="1081"/>
        <w:gridCol w:w="109"/>
        <w:gridCol w:w="109"/>
        <w:gridCol w:w="1066"/>
        <w:gridCol w:w="109"/>
        <w:gridCol w:w="109"/>
        <w:gridCol w:w="880"/>
        <w:gridCol w:w="109"/>
        <w:gridCol w:w="109"/>
        <w:gridCol w:w="1081"/>
        <w:gridCol w:w="109"/>
        <w:gridCol w:w="109"/>
        <w:gridCol w:w="916"/>
        <w:gridCol w:w="109"/>
        <w:gridCol w:w="109"/>
        <w:gridCol w:w="1177"/>
        <w:gridCol w:w="154"/>
      </w:tblGrid>
      <w:tr>
        <w:trPr/>
        <w:tc>
          <w:tcPr>
            <w:tcW w:w="124" w:type="dxa"/>
            <w:vMerge w:val="restart"/>
            <w:tcBorders/>
            <w:shd w:fill="000000" w:val="clear"/>
            <w:vAlign w:val="center"/>
          </w:tcPr>
          <w:p>
            <w:pPr>
              <w:pStyle w:val="TableContents"/>
              <w:bidi w:val="0"/>
              <w:spacing w:before="0" w:after="283"/>
              <w:jc w:val="left"/>
              <w:rPr/>
            </w:pPr>
            <w:r>
              <w:rPr/>
              <w:t>​</w:t>
            </w:r>
          </w:p>
        </w:tc>
        <w:tc>
          <w:tcPr>
            <w:tcW w:w="1276" w:type="dxa"/>
            <w:vMerge w:val="restart"/>
            <w:tcBorders/>
            <w:shd w:fill="000000" w:val="clear"/>
            <w:vAlign w:val="center"/>
          </w:tcPr>
          <w:p>
            <w:pPr>
              <w:pStyle w:val="TableContents"/>
              <w:bidi w:val="0"/>
              <w:spacing w:lineRule="atLeast" w:line="180" w:before="0" w:after="0"/>
              <w:jc w:val="left"/>
              <w:rPr/>
            </w:pPr>
            <w:r>
              <w:rPr/>
              <w:t xml:space="preserve">Name </w:t>
            </w:r>
          </w:p>
        </w:tc>
        <w:tc>
          <w:tcPr>
            <w:tcW w:w="109" w:type="dxa"/>
            <w:vMerge w:val="restart"/>
            <w:tcBorders/>
            <w:shd w:fill="000000" w:val="clear"/>
            <w:vAlign w:val="center"/>
          </w:tcPr>
          <w:p>
            <w:pPr>
              <w:pStyle w:val="TableContents"/>
              <w:bidi w:val="0"/>
              <w:spacing w:before="0" w:after="283"/>
              <w:jc w:val="left"/>
              <w:rPr/>
            </w:pPr>
            <w:r>
              <w:rPr/>
              <w:t>​</w:t>
            </w:r>
          </w:p>
        </w:tc>
        <w:tc>
          <w:tcPr>
            <w:tcW w:w="109" w:type="dxa"/>
            <w:vMerge w:val="restart"/>
            <w:tcBorders/>
            <w:shd w:fill="000000" w:val="clear"/>
            <w:vAlign w:val="center"/>
          </w:tcPr>
          <w:p>
            <w:pPr>
              <w:pStyle w:val="TableContents"/>
              <w:bidi w:val="0"/>
              <w:spacing w:before="0" w:after="283"/>
              <w:jc w:val="left"/>
              <w:rPr/>
            </w:pPr>
            <w:r>
              <w:rPr/>
              <w:t>​</w:t>
            </w:r>
          </w:p>
        </w:tc>
        <w:tc>
          <w:tcPr>
            <w:tcW w:w="646" w:type="dxa"/>
            <w:vMerge w:val="restart"/>
            <w:tcBorders/>
            <w:shd w:fill="000000" w:val="clear"/>
            <w:vAlign w:val="center"/>
          </w:tcPr>
          <w:p>
            <w:pPr>
              <w:pStyle w:val="TableContents"/>
              <w:bidi w:val="0"/>
              <w:spacing w:lineRule="atLeast" w:line="180" w:before="0" w:after="0"/>
              <w:jc w:val="center"/>
              <w:rPr/>
            </w:pPr>
            <w:r>
              <w:rPr/>
              <w:t>Grant</w:t>
              <w:br/>
              <w:t xml:space="preserve">Date </w:t>
            </w:r>
          </w:p>
        </w:tc>
        <w:tc>
          <w:tcPr>
            <w:tcW w:w="109" w:type="dxa"/>
            <w:vMerge w:val="restart"/>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3641" w:type="dxa"/>
            <w:gridSpan w:val="7"/>
            <w:tcBorders>
              <w:bottom w:val="single" w:sz="2" w:space="0" w:color="FFFFFF"/>
            </w:tcBorders>
            <w:shd w:fill="000000" w:val="clear"/>
            <w:tcMar>
              <w:bottom w:w="73" w:type="dxa"/>
            </w:tcMar>
            <w:vAlign w:val="center"/>
          </w:tcPr>
          <w:p>
            <w:pPr>
              <w:pStyle w:val="TableContents"/>
              <w:bidi w:val="0"/>
              <w:spacing w:lineRule="atLeast" w:line="142" w:before="0" w:after="0"/>
              <w:jc w:val="center"/>
              <w:rPr/>
            </w:pPr>
            <w:r>
              <w:rPr/>
              <w:t>Estimated Future Payouts</w:t>
              <w:br/>
              <w:t>Under Non-Equity Incentive</w:t>
              <w:br/>
              <w:t>Plan Awards</w:t>
            </w:r>
            <w:r>
              <w:rPr>
                <w:sz w:val="10"/>
              </w:rPr>
              <w:t>1</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3463" w:type="dxa"/>
            <w:gridSpan w:val="7"/>
            <w:tcBorders>
              <w:bottom w:val="single" w:sz="2" w:space="0" w:color="FFFFFF"/>
            </w:tcBorders>
            <w:shd w:fill="000000" w:val="clear"/>
            <w:tcMar>
              <w:bottom w:w="73" w:type="dxa"/>
            </w:tcMar>
            <w:vAlign w:val="center"/>
          </w:tcPr>
          <w:p>
            <w:pPr>
              <w:pStyle w:val="TableContents"/>
              <w:bidi w:val="0"/>
              <w:spacing w:lineRule="atLeast" w:line="142" w:before="0" w:after="0"/>
              <w:jc w:val="center"/>
              <w:rPr/>
            </w:pPr>
            <w:r>
              <w:rPr/>
              <w:t>Estimated Future Payouts</w:t>
              <w:br/>
              <w:t>Under Equity Incentive</w:t>
              <w:br/>
              <w:t>Plan Awards</w:t>
            </w:r>
            <w:r>
              <w:rPr>
                <w:sz w:val="10"/>
              </w:rPr>
              <w:t>2</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vMerge w:val="restart"/>
            <w:tcBorders/>
            <w:shd w:fill="000000" w:val="clear"/>
            <w:vAlign w:val="center"/>
          </w:tcPr>
          <w:p>
            <w:pPr>
              <w:pStyle w:val="TableContents"/>
              <w:bidi w:val="0"/>
              <w:spacing w:before="0" w:after="283"/>
              <w:jc w:val="left"/>
              <w:rPr/>
            </w:pPr>
            <w:r>
              <w:rPr/>
              <w:t>​</w:t>
            </w:r>
          </w:p>
        </w:tc>
        <w:tc>
          <w:tcPr>
            <w:tcW w:w="916" w:type="dxa"/>
            <w:vMerge w:val="restart"/>
            <w:tcBorders/>
            <w:shd w:fill="000000" w:val="clear"/>
            <w:vAlign w:val="center"/>
          </w:tcPr>
          <w:p>
            <w:pPr>
              <w:pStyle w:val="TableContents"/>
              <w:bidi w:val="0"/>
              <w:spacing w:lineRule="atLeast" w:line="142" w:before="0" w:after="0"/>
              <w:jc w:val="center"/>
              <w:rPr/>
            </w:pPr>
            <w:r>
              <w:rPr/>
              <w:t>All Other</w:t>
              <w:br/>
              <w:t>Stock</w:t>
              <w:br/>
              <w:t>Awards:</w:t>
              <w:br/>
              <w:t>Number of</w:t>
              <w:br/>
              <w:t>Shares of</w:t>
              <w:br/>
              <w:t>Stock</w:t>
              <w:br/>
              <w:t>(#)</w:t>
            </w:r>
            <w:r>
              <w:rPr>
                <w:sz w:val="10"/>
              </w:rPr>
              <w:t>3</w:t>
            </w:r>
          </w:p>
        </w:tc>
        <w:tc>
          <w:tcPr>
            <w:tcW w:w="109" w:type="dxa"/>
            <w:vMerge w:val="restart"/>
            <w:tcBorders/>
            <w:shd w:fill="000000" w:val="clear"/>
            <w:vAlign w:val="center"/>
          </w:tcPr>
          <w:p>
            <w:pPr>
              <w:pStyle w:val="TableContents"/>
              <w:bidi w:val="0"/>
              <w:spacing w:before="0" w:after="283"/>
              <w:jc w:val="left"/>
              <w:rPr/>
            </w:pPr>
            <w:r>
              <w:rPr/>
              <w:t>​</w:t>
            </w:r>
          </w:p>
        </w:tc>
        <w:tc>
          <w:tcPr>
            <w:tcW w:w="109" w:type="dxa"/>
            <w:vMerge w:val="restart"/>
            <w:tcBorders/>
            <w:shd w:fill="000000" w:val="clear"/>
            <w:vAlign w:val="center"/>
          </w:tcPr>
          <w:p>
            <w:pPr>
              <w:pStyle w:val="TableContents"/>
              <w:bidi w:val="0"/>
              <w:spacing w:before="0" w:after="283"/>
              <w:jc w:val="left"/>
              <w:rPr/>
            </w:pPr>
            <w:r>
              <w:rPr/>
              <w:t>​</w:t>
            </w:r>
          </w:p>
        </w:tc>
        <w:tc>
          <w:tcPr>
            <w:tcW w:w="1177" w:type="dxa"/>
            <w:vMerge w:val="restart"/>
            <w:tcBorders/>
            <w:shd w:fill="000000" w:val="clear"/>
            <w:vAlign w:val="center"/>
          </w:tcPr>
          <w:p>
            <w:pPr>
              <w:pStyle w:val="TableContents"/>
              <w:bidi w:val="0"/>
              <w:spacing w:lineRule="atLeast" w:line="142" w:before="0" w:after="0"/>
              <w:jc w:val="center"/>
              <w:rPr/>
            </w:pPr>
            <w:r>
              <w:rPr/>
              <w:t>Grant</w:t>
              <w:br/>
              <w:t>Date</w:t>
              <w:br/>
              <w:t>Fair</w:t>
              <w:br/>
              <w:t>Value</w:t>
              <w:br/>
              <w:t>of</w:t>
              <w:br/>
              <w:t>Stock</w:t>
              <w:br/>
              <w:t>Awards ($)</w:t>
            </w:r>
            <w:r>
              <w:rPr>
                <w:sz w:val="10"/>
              </w:rPr>
              <w:t>4</w:t>
            </w:r>
          </w:p>
        </w:tc>
        <w:tc>
          <w:tcPr>
            <w:tcW w:w="154" w:type="dxa"/>
            <w:vMerge w:val="restart"/>
            <w:tcBorders/>
            <w:shd w:fill="000000" w:val="clear"/>
            <w:vAlign w:val="center"/>
          </w:tcPr>
          <w:p>
            <w:pPr>
              <w:pStyle w:val="TableContents"/>
              <w:bidi w:val="0"/>
              <w:spacing w:before="0" w:after="283"/>
              <w:jc w:val="left"/>
              <w:rPr/>
            </w:pPr>
            <w:r>
              <w:rPr/>
              <w:t>​</w:t>
            </w:r>
          </w:p>
        </w:tc>
      </w:tr>
      <w:tr>
        <w:trPr/>
        <w:tc>
          <w:tcPr>
            <w:tcW w:w="124" w:type="dxa"/>
            <w:vMerge w:val="continue"/>
            <w:tcBorders/>
            <w:shd w:fill="000000" w:val="clear"/>
            <w:vAlign w:val="center"/>
          </w:tcPr>
          <w:p>
            <w:pPr>
              <w:pStyle w:val="Normal"/>
              <w:bidi w:val="0"/>
              <w:jc w:val="left"/>
              <w:rPr/>
            </w:pPr>
            <w:r>
              <w:rPr/>
            </w:r>
          </w:p>
        </w:tc>
        <w:tc>
          <w:tcPr>
            <w:tcW w:w="1276"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646"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09" w:type="dxa"/>
            <w:tcBorders/>
            <w:shd w:fill="000000" w:val="clear"/>
            <w:vAlign w:val="center"/>
          </w:tcPr>
          <w:p>
            <w:pPr>
              <w:pStyle w:val="TableContents"/>
              <w:bidi w:val="0"/>
              <w:spacing w:before="0" w:after="283"/>
              <w:jc w:val="left"/>
              <w:rPr/>
            </w:pPr>
            <w:r>
              <w:rPr/>
              <w:t>​</w:t>
            </w:r>
          </w:p>
        </w:tc>
        <w:tc>
          <w:tcPr>
            <w:tcW w:w="1066" w:type="dxa"/>
            <w:tcBorders/>
            <w:shd w:fill="000000" w:val="clear"/>
            <w:vAlign w:val="center"/>
          </w:tcPr>
          <w:p>
            <w:pPr>
              <w:pStyle w:val="TableContents"/>
              <w:bidi w:val="0"/>
              <w:spacing w:before="0" w:after="0"/>
              <w:jc w:val="center"/>
              <w:rPr/>
            </w:pPr>
            <w:r>
              <w:rPr/>
              <w:t>Threshold</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58" w:type="dxa"/>
            <w:tcBorders/>
            <w:shd w:fill="000000" w:val="clear"/>
            <w:vAlign w:val="center"/>
          </w:tcPr>
          <w:p>
            <w:pPr>
              <w:pStyle w:val="TableContents"/>
              <w:bidi w:val="0"/>
              <w:spacing w:before="0" w:after="0"/>
              <w:jc w:val="center"/>
              <w:rPr/>
            </w:pPr>
            <w:r>
              <w:rPr/>
              <w:t>Target</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81" w:type="dxa"/>
            <w:tcBorders/>
            <w:shd w:fill="000000" w:val="clear"/>
            <w:vAlign w:val="center"/>
          </w:tcPr>
          <w:p>
            <w:pPr>
              <w:pStyle w:val="TableContents"/>
              <w:bidi w:val="0"/>
              <w:spacing w:before="0" w:after="0"/>
              <w:jc w:val="center"/>
              <w:rPr/>
            </w:pPr>
            <w:r>
              <w:rPr/>
              <w:t>Maximum</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66" w:type="dxa"/>
            <w:tcBorders/>
            <w:shd w:fill="000000" w:val="clear"/>
            <w:vAlign w:val="center"/>
          </w:tcPr>
          <w:p>
            <w:pPr>
              <w:pStyle w:val="TableContents"/>
              <w:bidi w:val="0"/>
              <w:spacing w:before="0" w:after="0"/>
              <w:jc w:val="center"/>
              <w:rPr/>
            </w:pPr>
            <w:r>
              <w:rPr/>
              <w:t>Threshold</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80" w:type="dxa"/>
            <w:tcBorders/>
            <w:shd w:fill="000000" w:val="clear"/>
            <w:vAlign w:val="center"/>
          </w:tcPr>
          <w:p>
            <w:pPr>
              <w:pStyle w:val="TableContents"/>
              <w:bidi w:val="0"/>
              <w:spacing w:before="0" w:after="0"/>
              <w:jc w:val="center"/>
              <w:rPr/>
            </w:pPr>
            <w:r>
              <w:rPr/>
              <w:t>Target</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81" w:type="dxa"/>
            <w:tcBorders/>
            <w:shd w:fill="000000" w:val="clear"/>
            <w:vAlign w:val="center"/>
          </w:tcPr>
          <w:p>
            <w:pPr>
              <w:pStyle w:val="TableContents"/>
              <w:bidi w:val="0"/>
              <w:spacing w:before="0" w:after="0"/>
              <w:jc w:val="center"/>
              <w:rPr/>
            </w:pPr>
            <w:r>
              <w:rPr/>
              <w:t>Maximum</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vMerge w:val="continue"/>
            <w:tcBorders/>
            <w:shd w:fill="000000" w:val="clear"/>
            <w:vAlign w:val="center"/>
          </w:tcPr>
          <w:p>
            <w:pPr>
              <w:pStyle w:val="Normal"/>
              <w:bidi w:val="0"/>
              <w:jc w:val="left"/>
              <w:rPr/>
            </w:pPr>
            <w:r>
              <w:rPr/>
            </w:r>
          </w:p>
        </w:tc>
        <w:tc>
          <w:tcPr>
            <w:tcW w:w="916"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177" w:type="dxa"/>
            <w:vMerge w:val="continue"/>
            <w:tcBorders/>
            <w:shd w:fill="000000" w:val="clear"/>
            <w:vAlign w:val="center"/>
          </w:tcPr>
          <w:p>
            <w:pPr>
              <w:pStyle w:val="Normal"/>
              <w:bidi w:val="0"/>
              <w:jc w:val="left"/>
              <w:rPr/>
            </w:pPr>
            <w:r>
              <w:rPr/>
            </w:r>
          </w:p>
        </w:tc>
        <w:tc>
          <w:tcPr>
            <w:tcW w:w="154" w:type="dxa"/>
            <w:vMerge w:val="continue"/>
            <w:tcBorders/>
            <w:shd w:fill="000000" w:val="clear"/>
            <w:vAlign w:val="center"/>
          </w:tcPr>
          <w:p>
            <w:pPr>
              <w:pStyle w:val="Normal"/>
              <w:bidi w:val="0"/>
              <w:jc w:val="left"/>
              <w:rPr/>
            </w:pPr>
            <w:r>
              <w:rPr/>
            </w:r>
          </w:p>
        </w:tc>
      </w:tr>
      <w:tr>
        <w:trPr/>
        <w:tc>
          <w:tcPr>
            <w:tcW w:w="124"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276" w:type="dxa"/>
            <w:vMerge w:val="restart"/>
            <w:tcBorders>
              <w:bottom w:val="single" w:sz="2" w:space="0" w:color="666666"/>
            </w:tcBorders>
            <w:tcMar>
              <w:bottom w:w="82" w:type="dxa"/>
            </w:tcMar>
            <w:vAlign w:val="center"/>
          </w:tcPr>
          <w:p>
            <w:pPr>
              <w:pStyle w:val="TableContents"/>
              <w:bidi w:val="0"/>
              <w:spacing w:lineRule="atLeast" w:line="262" w:before="0" w:after="0"/>
              <w:jc w:val="left"/>
              <w:rPr>
                <w:b/>
              </w:rPr>
            </w:pPr>
            <w:r>
              <w:rPr>
                <w:b/>
                <w:spacing w:val="0"/>
              </w:rPr>
              <w:t>James R. Anderson</w:t>
            </w:r>
            <w:r>
              <w:rPr>
                <w:b/>
              </w:rPr>
              <w:t xml:space="preserve"> </w:t>
            </w:r>
          </w:p>
        </w:tc>
        <w:tc>
          <w:tcPr>
            <w:tcW w:w="109"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46"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2" w:type="dxa"/>
            </w:tcMar>
            <w:vAlign w:val="center"/>
          </w:tcPr>
          <w:p>
            <w:pPr>
              <w:pStyle w:val="TableContents"/>
              <w:bidi w:val="0"/>
              <w:spacing w:lineRule="atLeast" w:line="262" w:before="0" w:after="0"/>
              <w:jc w:val="center"/>
              <w:rPr>
                <w:spacing w:val="-1"/>
              </w:rPr>
            </w:pPr>
            <w:r>
              <w:rPr>
                <w:spacing w:val="-1"/>
              </w:rPr>
              <w:t xml:space="preserve">1,818,960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lineRule="atLeast" w:line="262" w:before="0" w:after="0"/>
              <w:jc w:val="center"/>
              <w:rPr>
                <w:spacing w:val="-1"/>
              </w:rPr>
            </w:pPr>
            <w:r>
              <w:rPr>
                <w:spacing w:val="-1"/>
              </w:rPr>
              <w:t xml:space="preserve">3,637,920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16"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7"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276" w:type="dxa"/>
            <w:vMerge w:val="continue"/>
            <w:tcBorders>
              <w:bottom w:val="single" w:sz="2" w:space="0" w:color="666666"/>
            </w:tcBorders>
            <w:tcMar>
              <w:bottom w:w="82"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46"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8/28/2025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51,100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102,199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255,498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16"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7"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17,293,093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276" w:type="dxa"/>
            <w:vMerge w:val="continue"/>
            <w:tcBorders>
              <w:bottom w:val="single" w:sz="2" w:space="0" w:color="666666"/>
            </w:tcBorders>
            <w:tcMar>
              <w:bottom w:w="82"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46"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8/28/2025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16"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68,133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7"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6,486,262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276" w:type="dxa"/>
            <w:vMerge w:val="restart"/>
            <w:tcBorders>
              <w:bottom w:val="single" w:sz="2" w:space="0" w:color="666666"/>
            </w:tcBorders>
            <w:tcMar>
              <w:bottom w:w="82" w:type="dxa"/>
            </w:tcMar>
            <w:vAlign w:val="center"/>
          </w:tcPr>
          <w:p>
            <w:pPr>
              <w:pStyle w:val="TableContents"/>
              <w:bidi w:val="0"/>
              <w:spacing w:lineRule="atLeast" w:line="262" w:before="0" w:after="0"/>
              <w:jc w:val="left"/>
              <w:rPr>
                <w:b/>
                <w:spacing w:val="0"/>
              </w:rPr>
            </w:pPr>
            <w:r>
              <w:rPr>
                <w:b/>
                <w:spacing w:val="0"/>
              </w:rPr>
              <w:t xml:space="preserve">Sherri Luther </w:t>
            </w:r>
          </w:p>
        </w:tc>
        <w:tc>
          <w:tcPr>
            <w:tcW w:w="109"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46"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2" w:type="dxa"/>
            </w:tcMar>
            <w:vAlign w:val="center"/>
          </w:tcPr>
          <w:p>
            <w:pPr>
              <w:pStyle w:val="TableContents"/>
              <w:bidi w:val="0"/>
              <w:spacing w:lineRule="atLeast" w:line="262" w:before="0" w:after="0"/>
              <w:jc w:val="center"/>
              <w:rPr>
                <w:spacing w:val="-1"/>
              </w:rPr>
            </w:pPr>
            <w:r>
              <w:rPr>
                <w:spacing w:val="-1"/>
              </w:rPr>
              <w:t xml:space="preserve">557,813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lineRule="atLeast" w:line="262" w:before="0" w:after="0"/>
              <w:jc w:val="center"/>
              <w:rPr>
                <w:spacing w:val="-1"/>
              </w:rPr>
            </w:pPr>
            <w:r>
              <w:rPr>
                <w:spacing w:val="-1"/>
              </w:rPr>
              <w:t xml:space="preserve">1,115,625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16"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7"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276" w:type="dxa"/>
            <w:vMerge w:val="continue"/>
            <w:tcBorders>
              <w:bottom w:val="single" w:sz="2" w:space="0" w:color="666666"/>
            </w:tcBorders>
            <w:tcMar>
              <w:bottom w:w="82"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46"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8/28/2025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11,769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23,537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47,074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16"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7"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3,292,591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276" w:type="dxa"/>
            <w:vMerge w:val="continue"/>
            <w:tcBorders>
              <w:bottom w:val="single" w:sz="2" w:space="0" w:color="666666"/>
            </w:tcBorders>
            <w:tcMar>
              <w:bottom w:w="82"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46"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8/28/2025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16"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15,692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7"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1,493,878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276" w:type="dxa"/>
            <w:vMerge w:val="restart"/>
            <w:tcBorders>
              <w:bottom w:val="single" w:sz="2" w:space="0" w:color="666666"/>
            </w:tcBorders>
            <w:tcMar>
              <w:bottom w:w="82" w:type="dxa"/>
            </w:tcMar>
            <w:vAlign w:val="center"/>
          </w:tcPr>
          <w:p>
            <w:pPr>
              <w:pStyle w:val="TableContents"/>
              <w:bidi w:val="0"/>
              <w:spacing w:lineRule="atLeast" w:line="262" w:before="0" w:after="0"/>
              <w:jc w:val="left"/>
              <w:rPr>
                <w:b/>
                <w:spacing w:val="0"/>
              </w:rPr>
            </w:pPr>
            <w:r>
              <w:rPr>
                <w:b/>
                <w:spacing w:val="0"/>
              </w:rPr>
              <w:t xml:space="preserve">Rob Beard </w:t>
            </w:r>
          </w:p>
        </w:tc>
        <w:tc>
          <w:tcPr>
            <w:tcW w:w="109"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46"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2" w:type="dxa"/>
            </w:tcMar>
            <w:vAlign w:val="center"/>
          </w:tcPr>
          <w:p>
            <w:pPr>
              <w:pStyle w:val="TableContents"/>
              <w:bidi w:val="0"/>
              <w:spacing w:lineRule="atLeast" w:line="262" w:before="0" w:after="0"/>
              <w:jc w:val="center"/>
              <w:rPr>
                <w:spacing w:val="-1"/>
              </w:rPr>
            </w:pPr>
            <w:r>
              <w:rPr>
                <w:spacing w:val="-1"/>
              </w:rPr>
              <w:t xml:space="preserve">583,440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lineRule="atLeast" w:line="262" w:before="0" w:after="0"/>
              <w:jc w:val="center"/>
              <w:rPr>
                <w:spacing w:val="-1"/>
              </w:rPr>
            </w:pPr>
            <w:r>
              <w:rPr>
                <w:spacing w:val="-1"/>
              </w:rPr>
              <w:t xml:space="preserve">1,166,880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16"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7"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276" w:type="dxa"/>
            <w:vMerge w:val="continue"/>
            <w:tcBorders>
              <w:bottom w:val="single" w:sz="2" w:space="0" w:color="666666"/>
            </w:tcBorders>
            <w:tcMar>
              <w:bottom w:w="82"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46"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8/28/2025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10,840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21,679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43,358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16"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7"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3,032,675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276" w:type="dxa"/>
            <w:vMerge w:val="continue"/>
            <w:tcBorders>
              <w:bottom w:val="single" w:sz="2" w:space="0" w:color="666666"/>
            </w:tcBorders>
            <w:tcMar>
              <w:bottom w:w="82"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46"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8/28/2025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16"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14,453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7"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1,375,926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276" w:type="dxa"/>
            <w:vMerge w:val="restart"/>
            <w:tcBorders>
              <w:bottom w:val="single" w:sz="2" w:space="0" w:color="666666"/>
            </w:tcBorders>
            <w:tcMar>
              <w:bottom w:w="82" w:type="dxa"/>
            </w:tcMar>
            <w:vAlign w:val="center"/>
          </w:tcPr>
          <w:p>
            <w:pPr>
              <w:pStyle w:val="TableContents"/>
              <w:bidi w:val="0"/>
              <w:spacing w:lineRule="atLeast" w:line="262" w:before="0" w:after="0"/>
              <w:jc w:val="left"/>
              <w:rPr>
                <w:b/>
                <w:spacing w:val="0"/>
              </w:rPr>
            </w:pPr>
            <w:r>
              <w:rPr>
                <w:b/>
                <w:spacing w:val="0"/>
              </w:rPr>
              <w:t xml:space="preserve">Julie Eng </w:t>
            </w:r>
          </w:p>
        </w:tc>
        <w:tc>
          <w:tcPr>
            <w:tcW w:w="109"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46"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2" w:type="dxa"/>
            </w:tcMar>
            <w:vAlign w:val="center"/>
          </w:tcPr>
          <w:p>
            <w:pPr>
              <w:pStyle w:val="TableContents"/>
              <w:bidi w:val="0"/>
              <w:spacing w:lineRule="atLeast" w:line="262" w:before="0" w:after="0"/>
              <w:jc w:val="center"/>
              <w:rPr>
                <w:spacing w:val="-1"/>
              </w:rPr>
            </w:pPr>
            <w:r>
              <w:rPr>
                <w:spacing w:val="-1"/>
              </w:rPr>
              <w:t xml:space="preserve">468,940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lineRule="atLeast" w:line="262" w:before="0" w:after="0"/>
              <w:jc w:val="center"/>
              <w:rPr>
                <w:spacing w:val="-1"/>
              </w:rPr>
            </w:pPr>
            <w:r>
              <w:rPr>
                <w:spacing w:val="-1"/>
              </w:rPr>
              <w:t xml:space="preserve">937,880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16"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7"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276" w:type="dxa"/>
            <w:vMerge w:val="continue"/>
            <w:tcBorders>
              <w:bottom w:val="single" w:sz="2" w:space="0" w:color="666666"/>
            </w:tcBorders>
            <w:tcMar>
              <w:bottom w:w="82"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46"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8/28/2025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25,808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51,616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51,616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16"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7"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4,913,843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276" w:type="dxa"/>
            <w:vMerge w:val="continue"/>
            <w:tcBorders>
              <w:bottom w:val="single" w:sz="2" w:space="0" w:color="666666"/>
            </w:tcBorders>
            <w:tcMar>
              <w:bottom w:w="82"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46"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8/28/2025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10,840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21,679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43,358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16"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7"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3,032,675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276" w:type="dxa"/>
            <w:vMerge w:val="continue"/>
            <w:tcBorders>
              <w:bottom w:val="single" w:sz="2" w:space="0" w:color="666666"/>
            </w:tcBorders>
            <w:tcMar>
              <w:bottom w:w="82"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46"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8/28/2025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16"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14,453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7"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1,375,926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276" w:type="dxa"/>
            <w:vMerge w:val="restart"/>
            <w:tcBorders>
              <w:bottom w:val="single" w:sz="2" w:space="0" w:color="666666"/>
            </w:tcBorders>
            <w:tcMar>
              <w:bottom w:w="82" w:type="dxa"/>
            </w:tcMar>
            <w:vAlign w:val="center"/>
          </w:tcPr>
          <w:p>
            <w:pPr>
              <w:pStyle w:val="TableContents"/>
              <w:bidi w:val="0"/>
              <w:spacing w:lineRule="atLeast" w:line="262" w:before="0" w:after="0"/>
              <w:jc w:val="left"/>
              <w:rPr>
                <w:b/>
                <w:spacing w:val="0"/>
              </w:rPr>
            </w:pPr>
            <w:r>
              <w:rPr>
                <w:b/>
                <w:spacing w:val="0"/>
              </w:rPr>
              <w:t xml:space="preserve">Jeffrey Place </w:t>
            </w:r>
          </w:p>
        </w:tc>
        <w:tc>
          <w:tcPr>
            <w:tcW w:w="109"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46"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2" w:type="dxa"/>
            </w:tcMar>
            <w:vAlign w:val="center"/>
          </w:tcPr>
          <w:p>
            <w:pPr>
              <w:pStyle w:val="TableContents"/>
              <w:bidi w:val="0"/>
              <w:spacing w:lineRule="atLeast" w:line="262" w:before="0" w:after="0"/>
              <w:jc w:val="center"/>
              <w:rPr>
                <w:spacing w:val="-1"/>
              </w:rPr>
            </w:pPr>
            <w:r>
              <w:rPr>
                <w:spacing w:val="-1"/>
              </w:rPr>
              <w:t xml:space="preserve">467,500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lineRule="atLeast" w:line="262" w:before="0" w:after="0"/>
              <w:jc w:val="center"/>
              <w:rPr>
                <w:spacing w:val="-1"/>
              </w:rPr>
            </w:pPr>
            <w:r>
              <w:rPr>
                <w:spacing w:val="-1"/>
              </w:rPr>
              <w:t xml:space="preserve">935,000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16"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7"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276" w:type="dxa"/>
            <w:vMerge w:val="continue"/>
            <w:tcBorders>
              <w:bottom w:val="single" w:sz="2" w:space="0" w:color="666666"/>
            </w:tcBorders>
            <w:tcMar>
              <w:bottom w:w="82"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46"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8/28/2025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12,388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24,776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49,552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16"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7"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3,465,915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276" w:type="dxa"/>
            <w:vMerge w:val="continue"/>
            <w:tcBorders>
              <w:bottom w:val="single" w:sz="2" w:space="0" w:color="666666"/>
            </w:tcBorders>
            <w:tcMar>
              <w:bottom w:w="82"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46"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8/28/2025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16"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19,525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7"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1,691,646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276" w:type="dxa"/>
            <w:vMerge w:val="restart"/>
            <w:tcBorders>
              <w:bottom w:val="single" w:sz="2" w:space="0" w:color="666666"/>
            </w:tcBorders>
            <w:tcMar>
              <w:bottom w:w="82" w:type="dxa"/>
            </w:tcMar>
            <w:vAlign w:val="center"/>
          </w:tcPr>
          <w:p>
            <w:pPr>
              <w:pStyle w:val="TableContents"/>
              <w:bidi w:val="0"/>
              <w:spacing w:lineRule="atLeast" w:line="262" w:before="0" w:after="0"/>
              <w:jc w:val="left"/>
              <w:rPr>
                <w:b/>
              </w:rPr>
            </w:pPr>
            <w:r>
              <w:rPr>
                <w:b/>
                <w:spacing w:val="0"/>
              </w:rPr>
              <w:t>Giovanni Barbarossa</w:t>
            </w:r>
            <w:r>
              <w:rPr>
                <w:b/>
              </w:rPr>
              <w:t xml:space="preserve"> </w:t>
            </w:r>
          </w:p>
        </w:tc>
        <w:tc>
          <w:tcPr>
            <w:tcW w:w="109"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46"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2" w:type="dxa"/>
            </w:tcMar>
            <w:vAlign w:val="center"/>
          </w:tcPr>
          <w:p>
            <w:pPr>
              <w:pStyle w:val="TableContents"/>
              <w:bidi w:val="0"/>
              <w:spacing w:lineRule="atLeast" w:line="262" w:before="0" w:after="0"/>
              <w:jc w:val="center"/>
              <w:rPr>
                <w:spacing w:val="-1"/>
              </w:rPr>
            </w:pPr>
            <w:r>
              <w:rPr>
                <w:spacing w:val="-1"/>
              </w:rPr>
              <w:t xml:space="preserve">578,180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lineRule="atLeast" w:line="262" w:before="0" w:after="0"/>
              <w:jc w:val="center"/>
              <w:rPr>
                <w:spacing w:val="-1"/>
              </w:rPr>
            </w:pPr>
            <w:r>
              <w:rPr>
                <w:spacing w:val="-1"/>
              </w:rPr>
              <w:t xml:space="preserve">1,156,360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16"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7" w:type="dxa"/>
            <w:tcBorders>
              <w:bottom w:val="single" w:sz="2" w:space="0" w:color="666666"/>
            </w:tcBorders>
            <w:tcMar>
              <w:bottom w:w="82" w:type="dxa"/>
            </w:tcMar>
            <w:vAlign w:val="center"/>
          </w:tcPr>
          <w:p>
            <w:pPr>
              <w:pStyle w:val="TableContents"/>
              <w:bidi w:val="0"/>
              <w:spacing w:lineRule="atLeast" w:line="262" w:before="0" w:after="0"/>
              <w:jc w:val="center"/>
              <w:rPr/>
            </w:pPr>
            <w:r>
              <w:rPr>
                <w:spacing w:val="-1"/>
              </w:rPr>
              <w:t>—</w:t>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276" w:type="dxa"/>
            <w:vMerge w:val="continue"/>
            <w:tcBorders>
              <w:bottom w:val="single" w:sz="2" w:space="0" w:color="666666"/>
            </w:tcBorders>
            <w:tcMar>
              <w:bottom w:w="82"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46"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8/28/2025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8,672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17,343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34,686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16"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7"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2,426,112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276" w:type="dxa"/>
            <w:vMerge w:val="continue"/>
            <w:tcBorders>
              <w:bottom w:val="single" w:sz="2" w:space="0" w:color="666666"/>
            </w:tcBorders>
            <w:tcMar>
              <w:bottom w:w="82"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646"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8/28/2025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6"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0"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16" w:type="dxa"/>
            <w:tcBorders>
              <w:bottom w:val="single" w:sz="2" w:space="0" w:color="666666"/>
            </w:tcBorders>
            <w:tcMar>
              <w:bottom w:w="82" w:type="dxa"/>
            </w:tcMar>
            <w:vAlign w:val="center"/>
          </w:tcPr>
          <w:p>
            <w:pPr>
              <w:pStyle w:val="TableContents"/>
              <w:bidi w:val="0"/>
              <w:spacing w:before="0" w:after="0"/>
              <w:jc w:val="center"/>
              <w:rPr>
                <w:spacing w:val="-1"/>
              </w:rPr>
            </w:pPr>
            <w:r>
              <w:rPr>
                <w:spacing w:val="-1"/>
              </w:rPr>
              <w:t xml:space="preserve">11,562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7" w:type="dxa"/>
            <w:tcBorders>
              <w:bottom w:val="single" w:sz="2" w:space="0" w:color="666666"/>
            </w:tcBorders>
            <w:tcMar>
              <w:bottom w:w="82" w:type="dxa"/>
            </w:tcMar>
            <w:vAlign w:val="center"/>
          </w:tcPr>
          <w:p>
            <w:pPr>
              <w:pStyle w:val="TableContents"/>
              <w:bidi w:val="0"/>
              <w:spacing w:before="0" w:after="0"/>
              <w:jc w:val="center"/>
              <w:rPr/>
            </w:pPr>
            <w:r>
              <w:rPr>
                <w:spacing w:val="-1"/>
              </w:rPr>
              <w:t>1,100,702</w:t>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188"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These columns show the range of potential payouts for awards made to our NEOs in fiscal year 2026 under our annual cash incentive program, EIP, assuming the target or maximum goals are satisfied with respect to the applicable performance measures underlying the awards. The business measurements and performance goals underlying these awards are described in the “Compensation Discussion and Analysis” section of this proxy statement. The aggregate amounts actually paid to our NEOs under these plans for fiscal year 2026 are set forth in the Summary Compensation Table in the column titled “Non-Equity Incentive Plan Compensation.” Additional details regarding the specific pay-outs under each of the plans are provided in the footnotes.</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119380" distB="0" distL="0" distR="0" simplePos="0" locked="0" layoutInCell="1" allowOverlap="1" relativeHeight="384">
                <wp:simplePos x="0" y="0"/>
                <wp:positionH relativeFrom="column">
                  <wp:align>left</wp:align>
                </wp:positionH>
                <wp:positionV relativeFrom="line">
                  <wp:align>top</wp:align>
                </wp:positionV>
                <wp:extent cx="203200" cy="204470"/>
                <wp:effectExtent l="0" t="0" r="0" b="0"/>
                <wp:wrapSquare wrapText="right"/>
                <wp:docPr id="392" name="Frame174"/>
                <a:graphic xmlns:a="http://schemas.openxmlformats.org/drawingml/2006/main">
                  <a:graphicData uri="http://schemas.microsoft.com/office/word/2010/wordprocessingShape">
                    <wps:wsp>
                      <wps:cNvSpPr txBox="1"/>
                      <wps:spPr>
                        <a:xfrm>
                          <a:off x="0" y="0"/>
                          <a:ext cx="203200" cy="204470"/>
                        </a:xfrm>
                        <a:prstGeom prst="rect"/>
                        <a:solidFill>
                          <a:srgbClr val="FFFFFF"/>
                        </a:solidFill>
                      </wps:spPr>
                      <wps:txbx>
                        <w:txbxContent>
                          <w:p>
                            <w:pPr>
                              <w:pStyle w:val="TextBody"/>
                              <w:bidi w:val="0"/>
                              <w:spacing w:before="0" w:after="283"/>
                              <w:jc w:val="left"/>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16pt;height:16.1pt;mso-wrap-distance-left:0pt;mso-wrap-distance-right:0pt;mso-wrap-distance-top:9.4pt;mso-wrap-distance-bottom:0pt;margin-top:9.4pt;mso-position-vertical:top;mso-position-vertical-relative:text;margin-left:0pt;mso-position-horizontal:left;mso-position-horizontal-relative:text">
                <v:textbox>
                  <w:txbxContent>
                    <w:p>
                      <w:pPr>
                        <w:pStyle w:val="TextBody"/>
                        <w:bidi w:val="0"/>
                        <w:spacing w:before="0" w:after="283"/>
                        <w:jc w:val="left"/>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68"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These columns show the range of pay-outs of PSU awards granted to our NEOs in fiscal year 2026 under the Amended and Restated 2018 Omnibus Incentive Plan and Coherent Corp. Omnibus Incentive Plan if threshold, target or maximum goals are achieved. See “Long-Term Incentives” starting on page 52.</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43180" distB="0" distL="0" distR="0" simplePos="0" locked="0" layoutInCell="1" allowOverlap="1" relativeHeight="385">
                <wp:simplePos x="0" y="0"/>
                <wp:positionH relativeFrom="column">
                  <wp:align>left</wp:align>
                </wp:positionH>
                <wp:positionV relativeFrom="line">
                  <wp:align>top</wp:align>
                </wp:positionV>
                <wp:extent cx="203200" cy="228600"/>
                <wp:effectExtent l="0" t="0" r="0" b="0"/>
                <wp:wrapSquare wrapText="right"/>
                <wp:docPr id="393" name="Frame175"/>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2.</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2.</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68"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This column shows the number of shares underlying the RSU awards granted to our NEOs in fiscal year 2026 under Amended and Restated 2018 Omnibus Incentive Plan and Coherent Corp. Omnibus Incentive Plan. For all NEOs, these awards are subject to vesting of one-third of the award on the first anniversary and quarterly thereafter for the remaining two years.</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43180" distB="0" distL="0" distR="0" simplePos="0" locked="0" layoutInCell="1" allowOverlap="1" relativeHeight="386">
                <wp:simplePos x="0" y="0"/>
                <wp:positionH relativeFrom="column">
                  <wp:align>left</wp:align>
                </wp:positionH>
                <wp:positionV relativeFrom="line">
                  <wp:align>top</wp:align>
                </wp:positionV>
                <wp:extent cx="203200" cy="228600"/>
                <wp:effectExtent l="0" t="0" r="0" b="0"/>
                <wp:wrapSquare wrapText="right"/>
                <wp:docPr id="394" name="Frame176"/>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3.</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3.</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7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This column shows the full grant date fair value of the stock awards reported in this table, which were computed in accordance with FASB ASC Topic 718. Generally, the full grant date fair value of an award is the amount the Company would expense in its financial statements over the award’s vesting period as determined at the grant date. See footnotes 1 and 2 to the Summary Compensation Table and Note 14 to the Company’s Consolidated Financial Statements included in the Annual Report on Form 10-K for fiscal year 2026 for additional information about the assumptions used in determining the grant date fair value of RSUs and PSUs (except that any estimate of forfeitures for service-based conditions have been disregarded).</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44450" distB="0" distL="0" distR="0" simplePos="0" locked="0" layoutInCell="1" allowOverlap="1" relativeHeight="387">
                <wp:simplePos x="0" y="0"/>
                <wp:positionH relativeFrom="column">
                  <wp:align>left</wp:align>
                </wp:positionH>
                <wp:positionV relativeFrom="line">
                  <wp:align>top</wp:align>
                </wp:positionV>
                <wp:extent cx="203200" cy="228600"/>
                <wp:effectExtent l="0" t="0" r="0" b="0"/>
                <wp:wrapSquare wrapText="right"/>
                <wp:docPr id="395" name="Frame177"/>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4.</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4.</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63</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0" w:name="tOEAA"/>
      <w:bookmarkEnd w:id="2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650" w:before="120" w:after="283"/>
        <w:ind w:left="893" w:right="40" w:hanging="0"/>
        <w:jc w:val="left"/>
        <w:rPr>
          <w:rFonts w:ascii="Tahoma;Geneva;sans-serif" w:hAnsi="Tahoma;Geneva;sans-serif"/>
          <w:b/>
          <w:i w:val="false"/>
          <w:caps w:val="false"/>
          <w:smallCaps w:val="false"/>
          <w:color w:val="0068C7"/>
          <w:sz w:val="60"/>
          <w:shd w:fill="FFFFFF" w:val="clear"/>
        </w:rPr>
      </w:pPr>
      <w:r>
        <w:rPr>
          <w:rFonts w:ascii="Tahoma;Geneva;sans-serif" w:hAnsi="Tahoma;Geneva;sans-serif"/>
          <w:b/>
          <w:i w:val="false"/>
          <w:caps w:val="false"/>
          <w:smallCaps w:val="false"/>
          <w:color w:val="0068C7"/>
          <w:sz w:val="60"/>
          <w:shd w:fill="FFFFFF" w:val="clear"/>
        </w:rPr>
        <w:t>OUTSTANDING EQUITY AWARDS AT FISCAL YEAR END</w:t>
      </w:r>
      <w:r>
        <w:rPr>
          <w:rFonts w:ascii="Tahoma;Geneva;sans-serif" w:hAnsi="Tahoma;Geneva;sans-serif"/>
          <w:b/>
          <w:i w:val="false"/>
          <w:caps w:val="false"/>
          <w:smallCaps w:val="false"/>
          <w:color w:val="000000"/>
          <w:spacing w:val="12"/>
          <w:sz w:val="6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This table summarizes the long-term equity-based awards held by our NEOs that were outstanding as of June 30, 2026.</w:t>
      </w:r>
      <w:r>
        <w:rPr>
          <w:rFonts w:ascii="Arial;Helvetica;sans-serif" w:hAnsi="Arial;Helvetica;sans-serif"/>
          <w:b w:val="false"/>
          <w:i w:val="false"/>
          <w:caps w:val="false"/>
          <w:smallCaps w:val="false"/>
          <w:color w:val="000000"/>
          <w:spacing w:val="4"/>
          <w:sz w:val="19"/>
          <w:shd w:fill="FFFFFF" w:val="clear"/>
        </w:rPr>
        <w:t xml:space="preserve"> </w:t>
      </w:r>
    </w:p>
    <w:tbl>
      <w:tblPr>
        <w:tblW w:w="12537" w:type="dxa"/>
        <w:jc w:val="left"/>
        <w:tblInd w:w="893" w:type="dxa"/>
        <w:tblLayout w:type="fixed"/>
        <w:tblCellMar>
          <w:top w:w="0" w:type="dxa"/>
          <w:left w:w="0" w:type="dxa"/>
          <w:bottom w:w="28" w:type="dxa"/>
          <w:right w:w="0" w:type="dxa"/>
        </w:tblCellMar>
      </w:tblPr>
      <w:tblGrid>
        <w:gridCol w:w="124"/>
        <w:gridCol w:w="1276"/>
        <w:gridCol w:w="109"/>
        <w:gridCol w:w="109"/>
        <w:gridCol w:w="1291"/>
        <w:gridCol w:w="109"/>
        <w:gridCol w:w="109"/>
        <w:gridCol w:w="1591"/>
        <w:gridCol w:w="109"/>
        <w:gridCol w:w="109"/>
        <w:gridCol w:w="766"/>
        <w:gridCol w:w="109"/>
        <w:gridCol w:w="109"/>
        <w:gridCol w:w="1096"/>
        <w:gridCol w:w="109"/>
        <w:gridCol w:w="109"/>
        <w:gridCol w:w="886"/>
        <w:gridCol w:w="109"/>
        <w:gridCol w:w="109"/>
        <w:gridCol w:w="1177"/>
        <w:gridCol w:w="109"/>
        <w:gridCol w:w="109"/>
        <w:gridCol w:w="1036"/>
        <w:gridCol w:w="109"/>
        <w:gridCol w:w="109"/>
        <w:gridCol w:w="1396"/>
        <w:gridCol w:w="154"/>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1276"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5398" w:type="dxa"/>
            <w:gridSpan w:val="10"/>
            <w:tcBorders>
              <w:bottom w:val="single" w:sz="2" w:space="0" w:color="FFFFFF"/>
            </w:tcBorders>
            <w:shd w:fill="000000" w:val="clear"/>
            <w:tcMar>
              <w:bottom w:w="50" w:type="dxa"/>
            </w:tcMar>
            <w:vAlign w:val="center"/>
          </w:tcPr>
          <w:p>
            <w:pPr>
              <w:pStyle w:val="TableContents"/>
              <w:bidi w:val="0"/>
              <w:spacing w:before="0" w:after="0"/>
              <w:jc w:val="center"/>
              <w:rPr/>
            </w:pPr>
            <w:r>
              <w:rPr/>
              <w:t xml:space="preserve">Option Awards </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5149" w:type="dxa"/>
            <w:gridSpan w:val="10"/>
            <w:tcBorders>
              <w:bottom w:val="single" w:sz="2" w:space="0" w:color="FFFFFF"/>
            </w:tcBorders>
            <w:shd w:fill="000000" w:val="clear"/>
            <w:tcMar>
              <w:bottom w:w="50" w:type="dxa"/>
            </w:tcMar>
            <w:vAlign w:val="center"/>
          </w:tcPr>
          <w:p>
            <w:pPr>
              <w:pStyle w:val="TableContents"/>
              <w:bidi w:val="0"/>
              <w:spacing w:before="0" w:after="0"/>
              <w:jc w:val="center"/>
              <w:rPr/>
            </w:pPr>
            <w:r>
              <w:rPr/>
              <w:t xml:space="preserve">Stock Awards </w:t>
            </w:r>
          </w:p>
        </w:tc>
        <w:tc>
          <w:tcPr>
            <w:tcW w:w="154" w:type="dxa"/>
            <w:tcBorders>
              <w:bottom w:val="single" w:sz="2" w:space="0" w:color="000000"/>
            </w:tcBorders>
            <w:shd w:fill="000000" w:val="clear"/>
            <w:vAlign w:val="center"/>
          </w:tcPr>
          <w:p>
            <w:pPr>
              <w:pStyle w:val="TableContents"/>
              <w:bidi w:val="0"/>
              <w:spacing w:before="0" w:after="283"/>
              <w:jc w:val="left"/>
              <w:rPr/>
            </w:pPr>
            <w:r>
              <w:rPr/>
              <w:t>​</w:t>
            </w:r>
          </w:p>
        </w:tc>
      </w:tr>
      <w:tr>
        <w:trPr/>
        <w:tc>
          <w:tcPr>
            <w:tcW w:w="124" w:type="dxa"/>
            <w:tcBorders/>
            <w:shd w:fill="000000" w:val="clear"/>
            <w:tcMar>
              <w:bottom w:w="0" w:type="dxa"/>
            </w:tcMar>
            <w:vAlign w:val="center"/>
          </w:tcPr>
          <w:p>
            <w:pPr>
              <w:pStyle w:val="TableContents"/>
              <w:bidi w:val="0"/>
              <w:spacing w:before="0" w:after="283"/>
              <w:jc w:val="left"/>
              <w:rPr/>
            </w:pPr>
            <w:r>
              <w:rPr/>
              <w:t>​</w:t>
            </w:r>
          </w:p>
        </w:tc>
        <w:tc>
          <w:tcPr>
            <w:tcW w:w="1276" w:type="dxa"/>
            <w:tcBorders/>
            <w:shd w:fill="000000" w:val="clear"/>
            <w:tcMar>
              <w:bottom w:w="0" w:type="dxa"/>
            </w:tcMar>
            <w:vAlign w:val="center"/>
          </w:tcPr>
          <w:p>
            <w:pPr>
              <w:pStyle w:val="TableContents"/>
              <w:bidi w:val="0"/>
              <w:spacing w:before="0" w:after="0"/>
              <w:jc w:val="left"/>
              <w:rPr/>
            </w:pPr>
            <w:r>
              <w:rPr/>
              <w:t xml:space="preserve">Name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291" w:type="dxa"/>
            <w:tcBorders/>
            <w:shd w:fill="000000" w:val="clear"/>
            <w:tcMar>
              <w:bottom w:w="0" w:type="dxa"/>
            </w:tcMar>
            <w:vAlign w:val="center"/>
          </w:tcPr>
          <w:p>
            <w:pPr>
              <w:pStyle w:val="TableContents"/>
              <w:bidi w:val="0"/>
              <w:spacing w:lineRule="atLeast" w:line="142" w:before="0" w:after="0"/>
              <w:jc w:val="center"/>
              <w:rPr/>
            </w:pPr>
            <w:r>
              <w:rPr/>
              <w:t>Number of</w:t>
              <w:br/>
              <w:t>Securities</w:t>
              <w:br/>
              <w:t>Underlying</w:t>
              <w:br/>
              <w:t>Unexercised</w:t>
              <w:br/>
              <w:t>Options (#)</w:t>
              <w:br/>
              <w:t>Exercisable</w:t>
            </w:r>
            <w:r>
              <w:rPr>
                <w:sz w:val="10"/>
              </w:rPr>
              <w:t>1</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591" w:type="dxa"/>
            <w:tcBorders/>
            <w:shd w:fill="000000" w:val="clear"/>
            <w:tcMar>
              <w:bottom w:w="0" w:type="dxa"/>
            </w:tcMar>
            <w:vAlign w:val="center"/>
          </w:tcPr>
          <w:p>
            <w:pPr>
              <w:pStyle w:val="TableContents"/>
              <w:bidi w:val="0"/>
              <w:spacing w:lineRule="atLeast" w:line="142" w:before="0" w:after="0"/>
              <w:jc w:val="center"/>
              <w:rPr/>
            </w:pPr>
            <w:r>
              <w:rPr/>
              <w:t>Number of</w:t>
              <w:br/>
              <w:t>Securities</w:t>
              <w:br/>
              <w:t>Underlying</w:t>
              <w:br/>
              <w:t>Unexercised</w:t>
              <w:br/>
              <w:t>Options (#)</w:t>
              <w:br/>
              <w:t>Un-exercisable</w:t>
            </w:r>
            <w:r>
              <w:rPr>
                <w:sz w:val="10"/>
              </w:rPr>
              <w:t>1</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766" w:type="dxa"/>
            <w:tcBorders/>
            <w:shd w:fill="000000" w:val="clear"/>
            <w:tcMar>
              <w:bottom w:w="0" w:type="dxa"/>
            </w:tcMar>
            <w:vAlign w:val="center"/>
          </w:tcPr>
          <w:p>
            <w:pPr>
              <w:pStyle w:val="TableContents"/>
              <w:bidi w:val="0"/>
              <w:spacing w:before="0" w:after="0"/>
              <w:jc w:val="center"/>
              <w:rPr/>
            </w:pPr>
            <w:r>
              <w:rPr/>
              <w:t>Option</w:t>
              <w:br/>
              <w:t>Price</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6" w:type="dxa"/>
            <w:tcBorders/>
            <w:shd w:fill="000000" w:val="clear"/>
            <w:tcMar>
              <w:bottom w:w="0" w:type="dxa"/>
            </w:tcMar>
            <w:vAlign w:val="center"/>
          </w:tcPr>
          <w:p>
            <w:pPr>
              <w:pStyle w:val="TableContents"/>
              <w:bidi w:val="0"/>
              <w:spacing w:before="0" w:after="0"/>
              <w:jc w:val="center"/>
              <w:rPr/>
            </w:pPr>
            <w:r>
              <w:rPr/>
              <w:t>Option</w:t>
              <w:br/>
              <w:t>Expiration</w:t>
              <w:br/>
              <w:t xml:space="preserve">Date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886" w:type="dxa"/>
            <w:tcBorders/>
            <w:shd w:fill="000000" w:val="clear"/>
            <w:tcMar>
              <w:bottom w:w="0" w:type="dxa"/>
            </w:tcMar>
            <w:vAlign w:val="center"/>
          </w:tcPr>
          <w:p>
            <w:pPr>
              <w:pStyle w:val="TableContents"/>
              <w:bidi w:val="0"/>
              <w:spacing w:lineRule="atLeast" w:line="142" w:before="0" w:after="0"/>
              <w:jc w:val="center"/>
              <w:rPr/>
            </w:pPr>
            <w:r>
              <w:rPr/>
              <w:t>Number of</w:t>
              <w:br/>
              <w:t>Shares or</w:t>
              <w:br/>
              <w:t>Units of</w:t>
              <w:br/>
              <w:t>Stock</w:t>
              <w:br/>
              <w:t>That Have</w:t>
              <w:br/>
              <w:t>Not</w:t>
              <w:br/>
              <w:t>Vested</w:t>
              <w:br/>
              <w:t>(#)</w:t>
            </w:r>
            <w:r>
              <w:rPr>
                <w:sz w:val="10"/>
              </w:rPr>
              <w:t>1</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177" w:type="dxa"/>
            <w:tcBorders/>
            <w:shd w:fill="000000" w:val="clear"/>
            <w:tcMar>
              <w:bottom w:w="0" w:type="dxa"/>
            </w:tcMar>
            <w:vAlign w:val="center"/>
          </w:tcPr>
          <w:p>
            <w:pPr>
              <w:pStyle w:val="TableContents"/>
              <w:bidi w:val="0"/>
              <w:spacing w:lineRule="atLeast" w:line="142" w:before="0" w:after="0"/>
              <w:jc w:val="center"/>
              <w:rPr/>
            </w:pPr>
            <w:r>
              <w:rPr/>
              <w:t>Market</w:t>
              <w:br/>
              <w:t>Value of</w:t>
              <w:br/>
              <w:t>Shares or</w:t>
              <w:br/>
              <w:t>Units of</w:t>
              <w:br/>
              <w:t>Stock That</w:t>
              <w:br/>
              <w:t>Have Not</w:t>
              <w:br/>
              <w:t>Vested ($)</w:t>
            </w:r>
            <w:r>
              <w:rPr>
                <w:sz w:val="10"/>
              </w:rPr>
              <w:t>2</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36" w:type="dxa"/>
            <w:tcBorders/>
            <w:shd w:fill="000000" w:val="clear"/>
            <w:tcMar>
              <w:bottom w:w="0" w:type="dxa"/>
            </w:tcMar>
            <w:vAlign w:val="center"/>
          </w:tcPr>
          <w:p>
            <w:pPr>
              <w:pStyle w:val="TableContents"/>
              <w:bidi w:val="0"/>
              <w:spacing w:lineRule="atLeast" w:line="142" w:before="0" w:after="0"/>
              <w:jc w:val="center"/>
              <w:rPr/>
            </w:pPr>
            <w:r>
              <w:rPr/>
              <w:t>Equity</w:t>
              <w:br/>
              <w:t>Incentive</w:t>
              <w:br/>
              <w:t>Plan Awards:</w:t>
              <w:br/>
              <w:t>Number of</w:t>
              <w:br/>
              <w:t>Unearned</w:t>
              <w:br/>
              <w:t>Shares,</w:t>
              <w:br/>
              <w:t>Units or</w:t>
              <w:br/>
              <w:t>Other Rights</w:t>
              <w:br/>
              <w:t>That Have</w:t>
              <w:br/>
              <w:t>Not Vested</w:t>
              <w:br/>
              <w:t>(#)</w:t>
            </w:r>
            <w:r>
              <w:rPr>
                <w:sz w:val="10"/>
              </w:rPr>
              <w:t>3</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396" w:type="dxa"/>
            <w:tcBorders/>
            <w:shd w:fill="000000" w:val="clear"/>
            <w:tcMar>
              <w:bottom w:w="0" w:type="dxa"/>
            </w:tcMar>
            <w:vAlign w:val="center"/>
          </w:tcPr>
          <w:p>
            <w:pPr>
              <w:pStyle w:val="TableContents"/>
              <w:bidi w:val="0"/>
              <w:spacing w:lineRule="atLeast" w:line="142" w:before="0" w:after="0"/>
              <w:jc w:val="center"/>
              <w:rPr/>
            </w:pPr>
            <w:r>
              <w:rPr/>
              <w:t>Equity</w:t>
              <w:br/>
              <w:t>Incentive</w:t>
              <w:br/>
              <w:t>Plan Awards:</w:t>
              <w:br/>
              <w:t>Market or</w:t>
              <w:br/>
              <w:t>Payout</w:t>
              <w:br/>
              <w:t>Value of</w:t>
              <w:br/>
              <w:t>Unearned</w:t>
              <w:br/>
              <w:t>Shares,</w:t>
              <w:br/>
              <w:t>Units or</w:t>
              <w:br/>
              <w:t>Other Rights</w:t>
              <w:br/>
              <w:t>That Have</w:t>
              <w:br/>
              <w:t>Not Vested</w:t>
              <w:br/>
              <w:t>($)</w:t>
            </w:r>
            <w:r>
              <w:rPr>
                <w:sz w:val="10"/>
              </w:rPr>
              <w:t>2</w:t>
            </w:r>
          </w:p>
        </w:tc>
        <w:tc>
          <w:tcPr>
            <w:tcW w:w="154" w:type="dxa"/>
            <w:tcBorders/>
            <w:shd w:fill="000000"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1276" w:type="dxa"/>
            <w:tcBorders>
              <w:bottom w:val="single" w:sz="2" w:space="0" w:color="666666"/>
            </w:tcBorders>
            <w:tcMar>
              <w:bottom w:w="68" w:type="dxa"/>
            </w:tcMar>
            <w:vAlign w:val="center"/>
          </w:tcPr>
          <w:p>
            <w:pPr>
              <w:pStyle w:val="TableContents"/>
              <w:bidi w:val="0"/>
              <w:spacing w:before="0" w:after="0"/>
              <w:jc w:val="left"/>
              <w:rPr>
                <w:b/>
              </w:rPr>
            </w:pPr>
            <w:r>
              <w:rPr>
                <w:b/>
                <w:spacing w:val="0"/>
              </w:rPr>
              <w:t>James R. Anderson</w:t>
            </w:r>
            <w:r>
              <w:rPr>
                <w:b/>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291"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91"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766"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96"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886" w:type="dxa"/>
            <w:tcBorders>
              <w:bottom w:val="single" w:sz="2" w:space="0" w:color="666666"/>
            </w:tcBorders>
            <w:tcMar>
              <w:bottom w:w="68" w:type="dxa"/>
            </w:tcMar>
            <w:vAlign w:val="center"/>
          </w:tcPr>
          <w:p>
            <w:pPr>
              <w:pStyle w:val="TableContents"/>
              <w:bidi w:val="0"/>
              <w:spacing w:before="0" w:after="0"/>
              <w:jc w:val="center"/>
              <w:rPr>
                <w:spacing w:val="-1"/>
              </w:rPr>
            </w:pPr>
            <w:r>
              <w:rPr>
                <w:spacing w:val="-1"/>
              </w:rPr>
              <w:t xml:space="preserve">117,205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177" w:type="dxa"/>
            <w:tcBorders>
              <w:bottom w:val="single" w:sz="2" w:space="0" w:color="666666"/>
            </w:tcBorders>
            <w:tcMar>
              <w:bottom w:w="68" w:type="dxa"/>
            </w:tcMar>
            <w:vAlign w:val="center"/>
          </w:tcPr>
          <w:p>
            <w:pPr>
              <w:pStyle w:val="TableContents"/>
              <w:bidi w:val="0"/>
              <w:spacing w:before="0" w:after="0"/>
              <w:jc w:val="center"/>
              <w:rPr>
                <w:spacing w:val="-1"/>
              </w:rPr>
            </w:pPr>
            <w:r>
              <w:rPr>
                <w:spacing w:val="-1"/>
              </w:rPr>
              <w:t xml:space="preserve">46,233,856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36" w:type="dxa"/>
            <w:tcBorders>
              <w:bottom w:val="single" w:sz="2" w:space="0" w:color="666666"/>
            </w:tcBorders>
            <w:tcMar>
              <w:bottom w:w="68" w:type="dxa"/>
            </w:tcMar>
            <w:vAlign w:val="center"/>
          </w:tcPr>
          <w:p>
            <w:pPr>
              <w:pStyle w:val="TableContents"/>
              <w:bidi w:val="0"/>
              <w:spacing w:before="0" w:after="0"/>
              <w:jc w:val="center"/>
              <w:rPr>
                <w:spacing w:val="-1"/>
              </w:rPr>
            </w:pPr>
            <w:r>
              <w:rPr>
                <w:spacing w:val="-1"/>
              </w:rPr>
              <w:t xml:space="preserve">796,206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396" w:type="dxa"/>
            <w:tcBorders>
              <w:bottom w:val="single" w:sz="2" w:space="0" w:color="666666"/>
            </w:tcBorders>
            <w:tcMar>
              <w:bottom w:w="68" w:type="dxa"/>
            </w:tcMar>
            <w:vAlign w:val="center"/>
          </w:tcPr>
          <w:p>
            <w:pPr>
              <w:pStyle w:val="TableContents"/>
              <w:bidi w:val="0"/>
              <w:spacing w:before="0" w:after="0"/>
              <w:jc w:val="center"/>
              <w:rPr>
                <w:spacing w:val="-1"/>
              </w:rPr>
            </w:pPr>
            <w:r>
              <w:rPr>
                <w:spacing w:val="-1"/>
              </w:rPr>
              <w:t xml:space="preserve">314,079,381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1276" w:type="dxa"/>
            <w:tcBorders>
              <w:bottom w:val="single" w:sz="2" w:space="0" w:color="666666"/>
            </w:tcBorders>
            <w:tcMar>
              <w:bottom w:w="92" w:type="dxa"/>
            </w:tcMar>
            <w:vAlign w:val="center"/>
          </w:tcPr>
          <w:p>
            <w:pPr>
              <w:pStyle w:val="TableContents"/>
              <w:bidi w:val="0"/>
              <w:spacing w:before="0" w:after="0"/>
              <w:jc w:val="left"/>
              <w:rPr>
                <w:b/>
                <w:spacing w:val="0"/>
              </w:rPr>
            </w:pPr>
            <w:r>
              <w:rPr>
                <w:b/>
                <w:spacing w:val="0"/>
              </w:rPr>
              <w:t xml:space="preserve">Sherri Luther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291" w:type="dxa"/>
            <w:tcBorders>
              <w:bottom w:val="single" w:sz="2" w:space="0" w:color="666666"/>
            </w:tcBorders>
            <w:tcMar>
              <w:bottom w:w="9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91" w:type="dxa"/>
            <w:tcBorders>
              <w:bottom w:val="single" w:sz="2" w:space="0" w:color="666666"/>
            </w:tcBorders>
            <w:tcMar>
              <w:bottom w:w="9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766" w:type="dxa"/>
            <w:tcBorders>
              <w:bottom w:val="single" w:sz="2" w:space="0" w:color="666666"/>
            </w:tcBorders>
            <w:tcMar>
              <w:bottom w:w="9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96" w:type="dxa"/>
            <w:tcBorders>
              <w:bottom w:val="single" w:sz="2" w:space="0" w:color="666666"/>
            </w:tcBorders>
            <w:tcMar>
              <w:bottom w:w="9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886" w:type="dxa"/>
            <w:tcBorders>
              <w:bottom w:val="single" w:sz="2" w:space="0" w:color="666666"/>
            </w:tcBorders>
            <w:tcMar>
              <w:bottom w:w="92" w:type="dxa"/>
            </w:tcMar>
            <w:vAlign w:val="center"/>
          </w:tcPr>
          <w:p>
            <w:pPr>
              <w:pStyle w:val="TableContents"/>
              <w:bidi w:val="0"/>
              <w:spacing w:before="0" w:after="0"/>
              <w:jc w:val="center"/>
              <w:rPr>
                <w:spacing w:val="-1"/>
              </w:rPr>
            </w:pPr>
            <w:r>
              <w:rPr>
                <w:spacing w:val="-1"/>
              </w:rPr>
              <w:t xml:space="preserve">57,871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177" w:type="dxa"/>
            <w:tcBorders>
              <w:bottom w:val="single" w:sz="2" w:space="0" w:color="666666"/>
            </w:tcBorders>
            <w:tcMar>
              <w:bottom w:w="92" w:type="dxa"/>
            </w:tcMar>
            <w:vAlign w:val="center"/>
          </w:tcPr>
          <w:p>
            <w:pPr>
              <w:pStyle w:val="TableContents"/>
              <w:bidi w:val="0"/>
              <w:spacing w:before="0" w:after="0"/>
              <w:jc w:val="center"/>
              <w:rPr>
                <w:spacing w:val="-1"/>
              </w:rPr>
            </w:pPr>
            <w:r>
              <w:rPr>
                <w:spacing w:val="-1"/>
              </w:rPr>
              <w:t xml:space="preserve">22,828,373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36" w:type="dxa"/>
            <w:tcBorders>
              <w:bottom w:val="single" w:sz="2" w:space="0" w:color="666666"/>
            </w:tcBorders>
            <w:tcMar>
              <w:bottom w:w="92" w:type="dxa"/>
            </w:tcMar>
            <w:vAlign w:val="center"/>
          </w:tcPr>
          <w:p>
            <w:pPr>
              <w:pStyle w:val="TableContents"/>
              <w:bidi w:val="0"/>
              <w:spacing w:before="0" w:after="0"/>
              <w:jc w:val="center"/>
              <w:rPr>
                <w:spacing w:val="-1"/>
              </w:rPr>
            </w:pPr>
            <w:r>
              <w:rPr>
                <w:spacing w:val="-1"/>
              </w:rPr>
              <w:t xml:space="preserve">142,120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396" w:type="dxa"/>
            <w:tcBorders>
              <w:bottom w:val="single" w:sz="2" w:space="0" w:color="666666"/>
            </w:tcBorders>
            <w:tcMar>
              <w:bottom w:w="92" w:type="dxa"/>
            </w:tcMar>
            <w:vAlign w:val="center"/>
          </w:tcPr>
          <w:p>
            <w:pPr>
              <w:pStyle w:val="TableContents"/>
              <w:bidi w:val="0"/>
              <w:spacing w:before="0" w:after="0"/>
              <w:jc w:val="center"/>
              <w:rPr>
                <w:spacing w:val="-1"/>
              </w:rPr>
            </w:pPr>
            <w:r>
              <w:rPr>
                <w:spacing w:val="-1"/>
              </w:rPr>
              <w:t xml:space="preserve">56,062,076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1276" w:type="dxa"/>
            <w:tcBorders>
              <w:bottom w:val="single" w:sz="2" w:space="0" w:color="666666"/>
            </w:tcBorders>
            <w:tcMar>
              <w:bottom w:w="92" w:type="dxa"/>
            </w:tcMar>
            <w:vAlign w:val="center"/>
          </w:tcPr>
          <w:p>
            <w:pPr>
              <w:pStyle w:val="TableContents"/>
              <w:bidi w:val="0"/>
              <w:spacing w:before="0" w:after="0"/>
              <w:jc w:val="left"/>
              <w:rPr>
                <w:b/>
                <w:spacing w:val="0"/>
              </w:rPr>
            </w:pPr>
            <w:r>
              <w:rPr>
                <w:b/>
                <w:spacing w:val="0"/>
              </w:rPr>
              <w:t xml:space="preserve">Rob Beard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291" w:type="dxa"/>
            <w:tcBorders>
              <w:bottom w:val="single" w:sz="2" w:space="0" w:color="666666"/>
            </w:tcBorders>
            <w:tcMar>
              <w:bottom w:w="9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91" w:type="dxa"/>
            <w:tcBorders>
              <w:bottom w:val="single" w:sz="2" w:space="0" w:color="666666"/>
            </w:tcBorders>
            <w:tcMar>
              <w:bottom w:w="9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766" w:type="dxa"/>
            <w:tcBorders>
              <w:bottom w:val="single" w:sz="2" w:space="0" w:color="666666"/>
            </w:tcBorders>
            <w:tcMar>
              <w:bottom w:w="9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96" w:type="dxa"/>
            <w:tcBorders>
              <w:bottom w:val="single" w:sz="2" w:space="0" w:color="666666"/>
            </w:tcBorders>
            <w:tcMar>
              <w:bottom w:w="9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886" w:type="dxa"/>
            <w:tcBorders>
              <w:bottom w:val="single" w:sz="2" w:space="0" w:color="666666"/>
            </w:tcBorders>
            <w:tcMar>
              <w:bottom w:w="92" w:type="dxa"/>
            </w:tcMar>
            <w:vAlign w:val="center"/>
          </w:tcPr>
          <w:p>
            <w:pPr>
              <w:pStyle w:val="TableContents"/>
              <w:bidi w:val="0"/>
              <w:spacing w:before="0" w:after="0"/>
              <w:jc w:val="center"/>
              <w:rPr>
                <w:spacing w:val="-1"/>
              </w:rPr>
            </w:pPr>
            <w:r>
              <w:rPr>
                <w:spacing w:val="-1"/>
              </w:rPr>
              <w:t xml:space="preserve">40,512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177" w:type="dxa"/>
            <w:tcBorders>
              <w:bottom w:val="single" w:sz="2" w:space="0" w:color="666666"/>
            </w:tcBorders>
            <w:tcMar>
              <w:bottom w:w="92" w:type="dxa"/>
            </w:tcMar>
            <w:vAlign w:val="center"/>
          </w:tcPr>
          <w:p>
            <w:pPr>
              <w:pStyle w:val="TableContents"/>
              <w:bidi w:val="0"/>
              <w:spacing w:before="0" w:after="0"/>
              <w:jc w:val="center"/>
              <w:rPr>
                <w:spacing w:val="-1"/>
              </w:rPr>
            </w:pPr>
            <w:r>
              <w:rPr>
                <w:spacing w:val="-1"/>
              </w:rPr>
              <w:t xml:space="preserve">15,980,769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36" w:type="dxa"/>
            <w:tcBorders>
              <w:bottom w:val="single" w:sz="2" w:space="0" w:color="666666"/>
            </w:tcBorders>
            <w:tcMar>
              <w:bottom w:w="92" w:type="dxa"/>
            </w:tcMar>
            <w:vAlign w:val="center"/>
          </w:tcPr>
          <w:p>
            <w:pPr>
              <w:pStyle w:val="TableContents"/>
              <w:bidi w:val="0"/>
              <w:spacing w:before="0" w:after="0"/>
              <w:jc w:val="center"/>
              <w:rPr>
                <w:spacing w:val="-1"/>
              </w:rPr>
            </w:pPr>
            <w:r>
              <w:rPr>
                <w:spacing w:val="-1"/>
              </w:rPr>
              <w:t xml:space="preserve">80,310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396" w:type="dxa"/>
            <w:tcBorders>
              <w:bottom w:val="single" w:sz="2" w:space="0" w:color="666666"/>
            </w:tcBorders>
            <w:tcMar>
              <w:bottom w:w="92" w:type="dxa"/>
            </w:tcMar>
            <w:vAlign w:val="center"/>
          </w:tcPr>
          <w:p>
            <w:pPr>
              <w:pStyle w:val="TableContents"/>
              <w:bidi w:val="0"/>
              <w:spacing w:before="0" w:after="0"/>
              <w:jc w:val="center"/>
              <w:rPr>
                <w:spacing w:val="-1"/>
              </w:rPr>
            </w:pPr>
            <w:r>
              <w:rPr>
                <w:spacing w:val="-1"/>
              </w:rPr>
              <w:t xml:space="preserve">31,679,886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1276" w:type="dxa"/>
            <w:tcBorders>
              <w:bottom w:val="single" w:sz="2" w:space="0" w:color="666666"/>
            </w:tcBorders>
            <w:tcMar>
              <w:bottom w:w="92" w:type="dxa"/>
            </w:tcMar>
            <w:vAlign w:val="center"/>
          </w:tcPr>
          <w:p>
            <w:pPr>
              <w:pStyle w:val="TableContents"/>
              <w:bidi w:val="0"/>
              <w:spacing w:before="0" w:after="0"/>
              <w:jc w:val="left"/>
              <w:rPr>
                <w:b/>
                <w:spacing w:val="0"/>
              </w:rPr>
            </w:pPr>
            <w:r>
              <w:rPr>
                <w:b/>
                <w:spacing w:val="0"/>
              </w:rPr>
              <w:t xml:space="preserve">Julie Eng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291" w:type="dxa"/>
            <w:tcBorders>
              <w:bottom w:val="single" w:sz="2" w:space="0" w:color="666666"/>
            </w:tcBorders>
            <w:tcMar>
              <w:bottom w:w="9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91" w:type="dxa"/>
            <w:tcBorders>
              <w:bottom w:val="single" w:sz="2" w:space="0" w:color="666666"/>
            </w:tcBorders>
            <w:tcMar>
              <w:bottom w:w="9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766" w:type="dxa"/>
            <w:tcBorders>
              <w:bottom w:val="single" w:sz="2" w:space="0" w:color="666666"/>
            </w:tcBorders>
            <w:tcMar>
              <w:bottom w:w="9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96" w:type="dxa"/>
            <w:tcBorders>
              <w:bottom w:val="single" w:sz="2" w:space="0" w:color="666666"/>
            </w:tcBorders>
            <w:tcMar>
              <w:bottom w:w="9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886" w:type="dxa"/>
            <w:tcBorders>
              <w:bottom w:val="single" w:sz="2" w:space="0" w:color="666666"/>
            </w:tcBorders>
            <w:tcMar>
              <w:bottom w:w="92" w:type="dxa"/>
            </w:tcMar>
            <w:vAlign w:val="center"/>
          </w:tcPr>
          <w:p>
            <w:pPr>
              <w:pStyle w:val="TableContents"/>
              <w:bidi w:val="0"/>
              <w:spacing w:before="0" w:after="0"/>
              <w:jc w:val="center"/>
              <w:rPr>
                <w:spacing w:val="-1"/>
              </w:rPr>
            </w:pPr>
            <w:r>
              <w:rPr>
                <w:spacing w:val="-1"/>
              </w:rPr>
              <w:t xml:space="preserve">48,730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177" w:type="dxa"/>
            <w:tcBorders>
              <w:bottom w:val="single" w:sz="2" w:space="0" w:color="666666"/>
            </w:tcBorders>
            <w:tcMar>
              <w:bottom w:w="92" w:type="dxa"/>
            </w:tcMar>
            <w:vAlign w:val="center"/>
          </w:tcPr>
          <w:p>
            <w:pPr>
              <w:pStyle w:val="TableContents"/>
              <w:bidi w:val="0"/>
              <w:spacing w:before="0" w:after="0"/>
              <w:jc w:val="center"/>
              <w:rPr>
                <w:spacing w:val="-1"/>
              </w:rPr>
            </w:pPr>
            <w:r>
              <w:rPr>
                <w:spacing w:val="-1"/>
              </w:rPr>
              <w:t xml:space="preserve">19,222,523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36" w:type="dxa"/>
            <w:tcBorders>
              <w:bottom w:val="single" w:sz="2" w:space="0" w:color="666666"/>
            </w:tcBorders>
            <w:tcMar>
              <w:bottom w:w="92" w:type="dxa"/>
            </w:tcMar>
            <w:vAlign w:val="center"/>
          </w:tcPr>
          <w:p>
            <w:pPr>
              <w:pStyle w:val="TableContents"/>
              <w:bidi w:val="0"/>
              <w:spacing w:before="0" w:after="0"/>
              <w:jc w:val="center"/>
              <w:rPr>
                <w:spacing w:val="-1"/>
              </w:rPr>
            </w:pPr>
            <w:r>
              <w:rPr>
                <w:spacing w:val="-1"/>
              </w:rPr>
              <w:t xml:space="preserve">92,596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396" w:type="dxa"/>
            <w:tcBorders>
              <w:bottom w:val="single" w:sz="2" w:space="0" w:color="666666"/>
            </w:tcBorders>
            <w:tcMar>
              <w:bottom w:w="92" w:type="dxa"/>
            </w:tcMar>
            <w:vAlign w:val="center"/>
          </w:tcPr>
          <w:p>
            <w:pPr>
              <w:pStyle w:val="TableContents"/>
              <w:bidi w:val="0"/>
              <w:spacing w:before="0" w:after="0"/>
              <w:jc w:val="center"/>
              <w:rPr>
                <w:spacing w:val="-1"/>
              </w:rPr>
            </w:pPr>
            <w:r>
              <w:rPr>
                <w:spacing w:val="-1"/>
              </w:rPr>
              <w:t xml:space="preserve">36,526,344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1276" w:type="dxa"/>
            <w:tcBorders>
              <w:bottom w:val="single" w:sz="2" w:space="0" w:color="666666"/>
            </w:tcBorders>
            <w:tcMar>
              <w:bottom w:w="92" w:type="dxa"/>
            </w:tcMar>
            <w:vAlign w:val="center"/>
          </w:tcPr>
          <w:p>
            <w:pPr>
              <w:pStyle w:val="TableContents"/>
              <w:bidi w:val="0"/>
              <w:spacing w:before="0" w:after="0"/>
              <w:jc w:val="left"/>
              <w:rPr>
                <w:b/>
                <w:spacing w:val="0"/>
              </w:rPr>
            </w:pPr>
            <w:r>
              <w:rPr>
                <w:b/>
                <w:spacing w:val="0"/>
              </w:rPr>
              <w:t xml:space="preserve">Jeffrey Place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291" w:type="dxa"/>
            <w:tcBorders>
              <w:bottom w:val="single" w:sz="2" w:space="0" w:color="666666"/>
            </w:tcBorders>
            <w:tcMar>
              <w:bottom w:w="9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91" w:type="dxa"/>
            <w:tcBorders>
              <w:bottom w:val="single" w:sz="2" w:space="0" w:color="666666"/>
            </w:tcBorders>
            <w:tcMar>
              <w:bottom w:w="9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766" w:type="dxa"/>
            <w:tcBorders>
              <w:bottom w:val="single" w:sz="2" w:space="0" w:color="666666"/>
            </w:tcBorders>
            <w:tcMar>
              <w:bottom w:w="9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96" w:type="dxa"/>
            <w:tcBorders>
              <w:bottom w:val="single" w:sz="2" w:space="0" w:color="666666"/>
            </w:tcBorders>
            <w:tcMar>
              <w:bottom w:w="9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886" w:type="dxa"/>
            <w:tcBorders>
              <w:bottom w:val="single" w:sz="2" w:space="0" w:color="666666"/>
            </w:tcBorders>
            <w:tcMar>
              <w:bottom w:w="92" w:type="dxa"/>
            </w:tcMar>
            <w:vAlign w:val="center"/>
          </w:tcPr>
          <w:p>
            <w:pPr>
              <w:pStyle w:val="TableContents"/>
              <w:bidi w:val="0"/>
              <w:spacing w:before="0" w:after="0"/>
              <w:jc w:val="center"/>
              <w:rPr>
                <w:spacing w:val="-1"/>
              </w:rPr>
            </w:pPr>
            <w:r>
              <w:rPr>
                <w:spacing w:val="-1"/>
              </w:rPr>
              <w:t xml:space="preserve">19,525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177" w:type="dxa"/>
            <w:tcBorders>
              <w:bottom w:val="single" w:sz="2" w:space="0" w:color="666666"/>
            </w:tcBorders>
            <w:tcMar>
              <w:bottom w:w="92" w:type="dxa"/>
            </w:tcMar>
            <w:vAlign w:val="center"/>
          </w:tcPr>
          <w:p>
            <w:pPr>
              <w:pStyle w:val="TableContents"/>
              <w:bidi w:val="0"/>
              <w:spacing w:before="0" w:after="0"/>
              <w:jc w:val="center"/>
              <w:rPr>
                <w:spacing w:val="-1"/>
              </w:rPr>
            </w:pPr>
            <w:r>
              <w:rPr>
                <w:spacing w:val="-1"/>
              </w:rPr>
              <w:t xml:space="preserve">7,702,027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36" w:type="dxa"/>
            <w:tcBorders>
              <w:bottom w:val="single" w:sz="2" w:space="0" w:color="666666"/>
            </w:tcBorders>
            <w:tcMar>
              <w:bottom w:w="92" w:type="dxa"/>
            </w:tcMar>
            <w:vAlign w:val="center"/>
          </w:tcPr>
          <w:p>
            <w:pPr>
              <w:pStyle w:val="TableContents"/>
              <w:bidi w:val="0"/>
              <w:spacing w:before="0" w:after="0"/>
              <w:jc w:val="center"/>
              <w:rPr>
                <w:spacing w:val="-1"/>
              </w:rPr>
            </w:pPr>
            <w:r>
              <w:rPr>
                <w:spacing w:val="-1"/>
              </w:rPr>
              <w:t xml:space="preserve">24,776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396" w:type="dxa"/>
            <w:tcBorders>
              <w:bottom w:val="single" w:sz="2" w:space="0" w:color="666666"/>
            </w:tcBorders>
            <w:tcMar>
              <w:bottom w:w="92" w:type="dxa"/>
            </w:tcMar>
            <w:vAlign w:val="center"/>
          </w:tcPr>
          <w:p>
            <w:pPr>
              <w:pStyle w:val="TableContents"/>
              <w:bidi w:val="0"/>
              <w:spacing w:before="0" w:after="0"/>
              <w:jc w:val="center"/>
              <w:rPr>
                <w:spacing w:val="-1"/>
              </w:rPr>
            </w:pPr>
            <w:r>
              <w:rPr>
                <w:spacing w:val="-1"/>
              </w:rPr>
              <w:t xml:space="preserve">9,773,389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1276" w:type="dxa"/>
            <w:tcBorders>
              <w:bottom w:val="single" w:sz="2" w:space="0" w:color="666666"/>
            </w:tcBorders>
            <w:tcMar>
              <w:bottom w:w="92" w:type="dxa"/>
            </w:tcMar>
            <w:vAlign w:val="center"/>
          </w:tcPr>
          <w:p>
            <w:pPr>
              <w:pStyle w:val="TableContents"/>
              <w:bidi w:val="0"/>
              <w:spacing w:before="0" w:after="0"/>
              <w:jc w:val="left"/>
              <w:rPr>
                <w:b/>
              </w:rPr>
            </w:pPr>
            <w:r>
              <w:rPr>
                <w:b/>
                <w:spacing w:val="0"/>
              </w:rPr>
              <w:t>Giovanni Barbarossa</w:t>
            </w:r>
            <w:r>
              <w:rPr>
                <w:b/>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291" w:type="dxa"/>
            <w:tcBorders>
              <w:bottom w:val="single" w:sz="2" w:space="0" w:color="666666"/>
            </w:tcBorders>
            <w:tcMar>
              <w:bottom w:w="9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91" w:type="dxa"/>
            <w:tcBorders>
              <w:bottom w:val="single" w:sz="2" w:space="0" w:color="666666"/>
            </w:tcBorders>
            <w:tcMar>
              <w:bottom w:w="9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766" w:type="dxa"/>
            <w:tcBorders>
              <w:bottom w:val="single" w:sz="2" w:space="0" w:color="666666"/>
            </w:tcBorders>
            <w:tcMar>
              <w:bottom w:w="9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96" w:type="dxa"/>
            <w:tcBorders>
              <w:bottom w:val="single" w:sz="2" w:space="0" w:color="666666"/>
            </w:tcBorders>
            <w:tcMar>
              <w:bottom w:w="92"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886" w:type="dxa"/>
            <w:tcBorders>
              <w:bottom w:val="single" w:sz="2" w:space="0" w:color="666666"/>
            </w:tcBorders>
            <w:tcMar>
              <w:bottom w:w="92" w:type="dxa"/>
            </w:tcMar>
            <w:vAlign w:val="center"/>
          </w:tcPr>
          <w:p>
            <w:pPr>
              <w:pStyle w:val="TableContents"/>
              <w:bidi w:val="0"/>
              <w:spacing w:before="0" w:after="0"/>
              <w:jc w:val="center"/>
              <w:rPr>
                <w:spacing w:val="-1"/>
              </w:rPr>
            </w:pPr>
            <w:r>
              <w:rPr>
                <w:spacing w:val="-1"/>
              </w:rPr>
              <w:t xml:space="preserve">57,514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177" w:type="dxa"/>
            <w:tcBorders>
              <w:bottom w:val="single" w:sz="2" w:space="0" w:color="666666"/>
            </w:tcBorders>
            <w:tcMar>
              <w:bottom w:w="92" w:type="dxa"/>
            </w:tcMar>
            <w:vAlign w:val="center"/>
          </w:tcPr>
          <w:p>
            <w:pPr>
              <w:pStyle w:val="TableContents"/>
              <w:bidi w:val="0"/>
              <w:spacing w:before="0" w:after="0"/>
              <w:jc w:val="center"/>
              <w:rPr>
                <w:spacing w:val="-1"/>
              </w:rPr>
            </w:pPr>
            <w:r>
              <w:rPr>
                <w:spacing w:val="-1"/>
              </w:rPr>
              <w:t xml:space="preserve">22,687,548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36" w:type="dxa"/>
            <w:tcBorders>
              <w:bottom w:val="single" w:sz="2" w:space="0" w:color="666666"/>
            </w:tcBorders>
            <w:tcMar>
              <w:bottom w:w="92" w:type="dxa"/>
            </w:tcMar>
            <w:vAlign w:val="center"/>
          </w:tcPr>
          <w:p>
            <w:pPr>
              <w:pStyle w:val="TableContents"/>
              <w:bidi w:val="0"/>
              <w:spacing w:before="0" w:after="0"/>
              <w:jc w:val="center"/>
              <w:rPr>
                <w:spacing w:val="-1"/>
              </w:rPr>
            </w:pPr>
            <w:r>
              <w:rPr>
                <w:spacing w:val="-1"/>
              </w:rPr>
              <w:t xml:space="preserve">37,416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396" w:type="dxa"/>
            <w:tcBorders>
              <w:bottom w:val="single" w:sz="2" w:space="0" w:color="666666"/>
            </w:tcBorders>
            <w:tcMar>
              <w:bottom w:w="92" w:type="dxa"/>
            </w:tcMar>
            <w:vAlign w:val="center"/>
          </w:tcPr>
          <w:p>
            <w:pPr>
              <w:pStyle w:val="TableContents"/>
              <w:bidi w:val="0"/>
              <w:spacing w:before="0" w:after="0"/>
              <w:jc w:val="center"/>
              <w:rPr/>
            </w:pPr>
            <w:r>
              <w:rPr>
                <w:spacing w:val="-1"/>
              </w:rPr>
              <w:t>14,759,490</w:t>
            </w:r>
            <w:r>
              <w:rPr/>
              <w:t xml:space="preserve"> </w:t>
            </w:r>
          </w:p>
        </w:tc>
        <w:tc>
          <w:tcPr>
            <w:tcW w:w="154" w:type="dxa"/>
            <w:tcBorders>
              <w:bottom w:val="single" w:sz="2" w:space="0" w:color="666666"/>
            </w:tcBorders>
            <w:vAlign w:val="center"/>
          </w:tcPr>
          <w:p>
            <w:pPr>
              <w:pStyle w:val="TableContents"/>
              <w:bidi w:val="0"/>
              <w:spacing w:before="0" w:after="283"/>
              <w:jc w:val="left"/>
              <w:rPr/>
            </w:pPr>
            <w:r>
              <w:rPr/>
              <w:t>​</w:t>
            </w:r>
          </w:p>
        </w:tc>
      </w:tr>
    </w:tbl>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224"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This column shows the number of restricted shares or RSUs outstanding as of June 30, 2026, and includes PSUs with a performance period ending on June 30, 2026, which are included in the column after adjustment for performance results. These awards will vest as set forth in the following table:</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142240" distB="0" distL="0" distR="0" simplePos="0" locked="0" layoutInCell="1" allowOverlap="1" relativeHeight="388">
                <wp:simplePos x="0" y="0"/>
                <wp:positionH relativeFrom="column">
                  <wp:align>left</wp:align>
                </wp:positionH>
                <wp:positionV relativeFrom="line">
                  <wp:align>top</wp:align>
                </wp:positionV>
                <wp:extent cx="203200" cy="350520"/>
                <wp:effectExtent l="0" t="0" r="0" b="0"/>
                <wp:wrapSquare wrapText="right"/>
                <wp:docPr id="396" name="Frame178"/>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before="0" w:after="283"/>
                              <w:jc w:val="left"/>
                              <w:rPr/>
                            </w:pPr>
                            <w:r>
                              <w:rPr>
                                <w:spacing w:val="-1"/>
                              </w:rPr>
                              <w:t>1.</w:t>
                            </w:r>
                            <w:r>
                              <w:rPr/>
                              <w:t xml:space="preserve"> </w:t>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11.2pt;mso-wrap-distance-bottom:0pt;margin-top:11.2pt;mso-position-vertical:top;mso-position-vertical-relative:text;margin-left:0pt;mso-position-horizontal:left;mso-position-horizontal-relative:text">
                <v:textbox>
                  <w:txbxContent>
                    <w:p>
                      <w:pPr>
                        <w:pStyle w:val="TextBody"/>
                        <w:bidi w:val="0"/>
                        <w:spacing w:before="0" w:after="283"/>
                        <w:jc w:val="left"/>
                        <w:rPr/>
                      </w:pPr>
                      <w:r>
                        <w:rPr>
                          <w:spacing w:val="-1"/>
                        </w:rPr>
                        <w:t>1.</w:t>
                      </w:r>
                      <w:r>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tbl>
      <w:tblPr>
        <w:tblW w:w="9272" w:type="dxa"/>
        <w:jc w:val="left"/>
        <w:tblInd w:w="893" w:type="dxa"/>
        <w:tblLayout w:type="fixed"/>
        <w:tblCellMar>
          <w:top w:w="0" w:type="dxa"/>
          <w:left w:w="0" w:type="dxa"/>
          <w:bottom w:w="0" w:type="dxa"/>
          <w:right w:w="0" w:type="dxa"/>
        </w:tblCellMar>
      </w:tblPr>
      <w:tblGrid>
        <w:gridCol w:w="124"/>
        <w:gridCol w:w="1653"/>
        <w:gridCol w:w="109"/>
        <w:gridCol w:w="109"/>
        <w:gridCol w:w="1232"/>
        <w:gridCol w:w="109"/>
        <w:gridCol w:w="109"/>
        <w:gridCol w:w="894"/>
        <w:gridCol w:w="109"/>
        <w:gridCol w:w="109"/>
        <w:gridCol w:w="849"/>
        <w:gridCol w:w="109"/>
        <w:gridCol w:w="109"/>
        <w:gridCol w:w="819"/>
        <w:gridCol w:w="109"/>
        <w:gridCol w:w="109"/>
        <w:gridCol w:w="877"/>
        <w:gridCol w:w="109"/>
        <w:gridCol w:w="109"/>
        <w:gridCol w:w="1358"/>
        <w:gridCol w:w="158"/>
      </w:tblGrid>
      <w:tr>
        <w:trPr/>
        <w:tc>
          <w:tcPr>
            <w:tcW w:w="124" w:type="dxa"/>
            <w:tcBorders/>
            <w:shd w:fill="000000" w:val="clear"/>
            <w:vAlign w:val="center"/>
          </w:tcPr>
          <w:p>
            <w:pPr>
              <w:pStyle w:val="TableContents"/>
              <w:bidi w:val="0"/>
              <w:spacing w:before="0" w:after="283"/>
              <w:jc w:val="left"/>
              <w:rPr/>
            </w:pPr>
            <w:r>
              <w:rPr/>
              <w:t>​</w:t>
            </w:r>
          </w:p>
        </w:tc>
        <w:tc>
          <w:tcPr>
            <w:tcW w:w="1653" w:type="dxa"/>
            <w:tcBorders/>
            <w:shd w:fill="000000" w:val="clear"/>
            <w:vAlign w:val="center"/>
          </w:tcPr>
          <w:p>
            <w:pPr>
              <w:pStyle w:val="TableContents"/>
              <w:bidi w:val="0"/>
              <w:spacing w:before="0" w:after="0"/>
              <w:jc w:val="left"/>
              <w:rPr/>
            </w:pPr>
            <w:r>
              <w:rPr/>
              <w:t xml:space="preserve">Vesting Date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32" w:type="dxa"/>
            <w:tcBorders/>
            <w:shd w:fill="000000" w:val="clear"/>
            <w:vAlign w:val="center"/>
          </w:tcPr>
          <w:p>
            <w:pPr>
              <w:pStyle w:val="TableContents"/>
              <w:bidi w:val="0"/>
              <w:spacing w:before="0" w:after="0"/>
              <w:jc w:val="center"/>
              <w:rPr/>
            </w:pPr>
            <w:r>
              <w:rPr/>
              <w:t xml:space="preserve">James R. Anderson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94" w:type="dxa"/>
            <w:tcBorders/>
            <w:shd w:fill="000000" w:val="clear"/>
            <w:vAlign w:val="center"/>
          </w:tcPr>
          <w:p>
            <w:pPr>
              <w:pStyle w:val="TableContents"/>
              <w:bidi w:val="0"/>
              <w:spacing w:before="0" w:after="0"/>
              <w:jc w:val="center"/>
              <w:rPr/>
            </w:pPr>
            <w:r>
              <w:rPr/>
              <w:t xml:space="preserve">Sherri Luther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49" w:type="dxa"/>
            <w:tcBorders/>
            <w:shd w:fill="000000" w:val="clear"/>
            <w:vAlign w:val="center"/>
          </w:tcPr>
          <w:p>
            <w:pPr>
              <w:pStyle w:val="TableContents"/>
              <w:bidi w:val="0"/>
              <w:spacing w:before="0" w:after="0"/>
              <w:jc w:val="center"/>
              <w:rPr/>
            </w:pPr>
            <w:r>
              <w:rPr/>
              <w:t xml:space="preserve">Rob Beard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19" w:type="dxa"/>
            <w:tcBorders/>
            <w:shd w:fill="000000" w:val="clear"/>
            <w:vAlign w:val="center"/>
          </w:tcPr>
          <w:p>
            <w:pPr>
              <w:pStyle w:val="TableContents"/>
              <w:bidi w:val="0"/>
              <w:spacing w:before="0" w:after="0"/>
              <w:jc w:val="center"/>
              <w:rPr/>
            </w:pPr>
            <w:r>
              <w:rPr/>
              <w:t xml:space="preserve">Julie Eng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77" w:type="dxa"/>
            <w:tcBorders/>
            <w:shd w:fill="000000" w:val="clear"/>
            <w:vAlign w:val="center"/>
          </w:tcPr>
          <w:p>
            <w:pPr>
              <w:pStyle w:val="TableContents"/>
              <w:bidi w:val="0"/>
              <w:spacing w:before="0" w:after="0"/>
              <w:jc w:val="center"/>
              <w:rPr/>
            </w:pPr>
            <w:r>
              <w:rPr/>
              <w:t xml:space="preserve">Jeffrey Place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58" w:type="dxa"/>
            <w:tcBorders/>
            <w:shd w:fill="000000" w:val="clear"/>
            <w:vAlign w:val="center"/>
          </w:tcPr>
          <w:p>
            <w:pPr>
              <w:pStyle w:val="TableContents"/>
              <w:bidi w:val="0"/>
              <w:spacing w:before="0" w:after="0"/>
              <w:jc w:val="center"/>
              <w:rPr/>
            </w:pPr>
            <w:r>
              <w:rPr/>
              <w:t xml:space="preserve">Giovanni Barbarossa </w:t>
            </w:r>
          </w:p>
        </w:tc>
        <w:tc>
          <w:tcPr>
            <w:tcW w:w="158"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653"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July 2026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32"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94"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49"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19"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77"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6,508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8"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58"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653"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August 2026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32"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22,711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94"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5,231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49"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4,818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19"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13,979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77"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8"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19,034 </w:t>
            </w:r>
          </w:p>
        </w:tc>
        <w:tc>
          <w:tcPr>
            <w:tcW w:w="158"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653"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October 2026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32"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94"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36,877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49"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13,029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19"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77"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1,627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8"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58"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653"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November 2026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32"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5,678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94"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1,307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49"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1,204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19"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1,204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77"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8"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964 </w:t>
            </w:r>
          </w:p>
        </w:tc>
        <w:tc>
          <w:tcPr>
            <w:tcW w:w="158"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653"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January 2027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32"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94"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49"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19"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77"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1,627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8"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58"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653"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February 2027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32"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5,677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94"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1,308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49"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1,204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19"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5,637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77"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8"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963 </w:t>
            </w:r>
          </w:p>
        </w:tc>
        <w:tc>
          <w:tcPr>
            <w:tcW w:w="158"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653"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April 2027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32"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94"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49"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19"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77"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1,628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8"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58"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653"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May 2027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32"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5,678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94"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1,308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49"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1,205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19"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1,205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77"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8"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963 </w:t>
            </w:r>
          </w:p>
        </w:tc>
        <w:tc>
          <w:tcPr>
            <w:tcW w:w="158"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653"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June 2027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32"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49,072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94"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49"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19"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77"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8"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58"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653"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July 2027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32"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94"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49"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19"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77"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1,627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8"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58"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653"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August 2027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32"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5,678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94"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1,307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49"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1,204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19"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5,493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77"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8"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5,426 </w:t>
            </w:r>
          </w:p>
        </w:tc>
        <w:tc>
          <w:tcPr>
            <w:tcW w:w="158"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653"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October 2027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32"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94"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5,302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49"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13,030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19"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77"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1,627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8"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58"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653"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November 2027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32"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5,678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94"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1,308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49"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1,205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19"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1,205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77"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8"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964 </w:t>
            </w:r>
          </w:p>
        </w:tc>
        <w:tc>
          <w:tcPr>
            <w:tcW w:w="158"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64</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1505"/>
        <w:gridCol w:w="109"/>
        <w:gridCol w:w="109"/>
        <w:gridCol w:w="1266"/>
        <w:gridCol w:w="109"/>
        <w:gridCol w:w="109"/>
        <w:gridCol w:w="918"/>
        <w:gridCol w:w="109"/>
        <w:gridCol w:w="109"/>
        <w:gridCol w:w="865"/>
        <w:gridCol w:w="109"/>
        <w:gridCol w:w="109"/>
        <w:gridCol w:w="829"/>
        <w:gridCol w:w="109"/>
        <w:gridCol w:w="109"/>
        <w:gridCol w:w="907"/>
        <w:gridCol w:w="109"/>
        <w:gridCol w:w="109"/>
        <w:gridCol w:w="1393"/>
        <w:gridCol w:w="157"/>
      </w:tblGrid>
      <w:tr>
        <w:trPr/>
        <w:tc>
          <w:tcPr>
            <w:tcW w:w="124" w:type="dxa"/>
            <w:tcBorders/>
            <w:shd w:fill="000000" w:val="clear"/>
            <w:vAlign w:val="center"/>
          </w:tcPr>
          <w:p>
            <w:pPr>
              <w:pStyle w:val="TableContents"/>
              <w:bidi w:val="0"/>
              <w:spacing w:before="0" w:after="283"/>
              <w:jc w:val="left"/>
              <w:rPr/>
            </w:pPr>
            <w:r>
              <w:rPr/>
              <w:t>​</w:t>
            </w:r>
          </w:p>
        </w:tc>
        <w:tc>
          <w:tcPr>
            <w:tcW w:w="1505" w:type="dxa"/>
            <w:tcBorders/>
            <w:shd w:fill="000000" w:val="clear"/>
            <w:vAlign w:val="center"/>
          </w:tcPr>
          <w:p>
            <w:pPr>
              <w:pStyle w:val="TableContents"/>
              <w:bidi w:val="0"/>
              <w:spacing w:before="0" w:after="0"/>
              <w:jc w:val="left"/>
              <w:rPr/>
            </w:pPr>
            <w:r>
              <w:rPr/>
              <w:t xml:space="preserve">Vesting Date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66" w:type="dxa"/>
            <w:tcBorders/>
            <w:shd w:fill="000000" w:val="clear"/>
            <w:vAlign w:val="center"/>
          </w:tcPr>
          <w:p>
            <w:pPr>
              <w:pStyle w:val="TableContents"/>
              <w:bidi w:val="0"/>
              <w:spacing w:before="0" w:after="0"/>
              <w:jc w:val="center"/>
              <w:rPr/>
            </w:pPr>
            <w:r>
              <w:rPr/>
              <w:t xml:space="preserve">James R. Anderson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918" w:type="dxa"/>
            <w:tcBorders/>
            <w:shd w:fill="000000" w:val="clear"/>
            <w:vAlign w:val="center"/>
          </w:tcPr>
          <w:p>
            <w:pPr>
              <w:pStyle w:val="TableContents"/>
              <w:bidi w:val="0"/>
              <w:spacing w:before="0" w:after="0"/>
              <w:jc w:val="center"/>
              <w:rPr/>
            </w:pPr>
            <w:r>
              <w:rPr/>
              <w:t xml:space="preserve">Sherri Luther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65" w:type="dxa"/>
            <w:tcBorders/>
            <w:shd w:fill="000000" w:val="clear"/>
            <w:vAlign w:val="center"/>
          </w:tcPr>
          <w:p>
            <w:pPr>
              <w:pStyle w:val="TableContents"/>
              <w:bidi w:val="0"/>
              <w:spacing w:before="0" w:after="0"/>
              <w:jc w:val="center"/>
              <w:rPr/>
            </w:pPr>
            <w:r>
              <w:rPr/>
              <w:t xml:space="preserve">Rob Beard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29" w:type="dxa"/>
            <w:tcBorders/>
            <w:shd w:fill="000000" w:val="clear"/>
            <w:vAlign w:val="center"/>
          </w:tcPr>
          <w:p>
            <w:pPr>
              <w:pStyle w:val="TableContents"/>
              <w:bidi w:val="0"/>
              <w:spacing w:before="0" w:after="0"/>
              <w:jc w:val="center"/>
              <w:rPr/>
            </w:pPr>
            <w:r>
              <w:rPr/>
              <w:t xml:space="preserve">Julie Eng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907" w:type="dxa"/>
            <w:tcBorders/>
            <w:shd w:fill="000000" w:val="clear"/>
            <w:vAlign w:val="center"/>
          </w:tcPr>
          <w:p>
            <w:pPr>
              <w:pStyle w:val="TableContents"/>
              <w:bidi w:val="0"/>
              <w:spacing w:before="0" w:after="0"/>
              <w:jc w:val="center"/>
              <w:rPr/>
            </w:pPr>
            <w:r>
              <w:rPr/>
              <w:t xml:space="preserve">Jeffrey Place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93" w:type="dxa"/>
            <w:tcBorders/>
            <w:shd w:fill="000000" w:val="clear"/>
            <w:vAlign w:val="center"/>
          </w:tcPr>
          <w:p>
            <w:pPr>
              <w:pStyle w:val="TableContents"/>
              <w:bidi w:val="0"/>
              <w:spacing w:before="0" w:after="0"/>
              <w:jc w:val="center"/>
              <w:rPr/>
            </w:pPr>
            <w:r>
              <w:rPr/>
              <w:t xml:space="preserve">Giovanni Barbarossa </w:t>
            </w:r>
          </w:p>
        </w:tc>
        <w:tc>
          <w:tcPr>
            <w:tcW w:w="157"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05"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January 2028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66"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18"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65"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29"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07"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1,627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93"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05"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February 2028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66"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5,678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18"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1,308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65"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1,204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29"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5,638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07"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93"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963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05"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April 2028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66"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18"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65"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29"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07"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1,627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93"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05"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May 2028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66"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5,677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18"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1,307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65"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1,205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29"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1,205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07"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93"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964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05"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July 2028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66"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18"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65"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29"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07"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93"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05"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August 2028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66"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5,678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18"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1,308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65"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1,204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29"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1,204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07"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1,627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93"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963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505"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Total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66"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117,205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18"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57,871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65"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40,512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29"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36,770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07"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19,525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93" w:type="dxa"/>
            <w:tcBorders>
              <w:bottom w:val="single" w:sz="2" w:space="0" w:color="666666"/>
            </w:tcBorders>
            <w:tcMar>
              <w:bottom w:w="99" w:type="dxa"/>
            </w:tcMar>
            <w:vAlign w:val="center"/>
          </w:tcPr>
          <w:p>
            <w:pPr>
              <w:pStyle w:val="TableContents"/>
              <w:bidi w:val="0"/>
              <w:spacing w:before="0" w:after="0"/>
              <w:jc w:val="center"/>
              <w:rPr/>
            </w:pPr>
            <w:r>
              <w:rPr>
                <w:spacing w:val="-1"/>
              </w:rPr>
              <w:t>31,204</w:t>
            </w:r>
            <w:r>
              <w:rPr/>
              <w:t xml:space="preserve">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20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These values are based on the closing market price of the Common Stock on June 30, 2026, the last trading day of our fiscal year, of $394.47 per share.</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127000" distB="0" distL="0" distR="0" simplePos="0" locked="0" layoutInCell="1" allowOverlap="1" relativeHeight="389">
                <wp:simplePos x="0" y="0"/>
                <wp:positionH relativeFrom="column">
                  <wp:align>left</wp:align>
                </wp:positionH>
                <wp:positionV relativeFrom="line">
                  <wp:align>top</wp:align>
                </wp:positionV>
                <wp:extent cx="203200" cy="350520"/>
                <wp:effectExtent l="0" t="0" r="0" b="0"/>
                <wp:wrapSquare wrapText="right"/>
                <wp:docPr id="397" name="Frame179"/>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before="0" w:after="283"/>
                              <w:jc w:val="left"/>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before="0" w:after="283"/>
                        <w:jc w:val="left"/>
                        <w:rPr/>
                      </w:pPr>
                      <w:r>
                        <w:rPr>
                          <w:spacing w:val="-1"/>
                        </w:rPr>
                        <w:t>2.</w:t>
                      </w:r>
                      <w:r>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This column shows the number of unvested PSUs outstanding as of June 30, 2026, that were granted for fiscal years 2025 and 2026. Based on performance through the end of the last fiscal year these amounts consist of shares underlying awards assuming target performance for fiscal year 2025 PSUs and fiscal year 2026 PSUs. These awards will vest as set forth in the following table, subject to actual performance results for the applicable performance period:</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50800" distB="0" distL="0" distR="0" simplePos="0" locked="0" layoutInCell="1" allowOverlap="1" relativeHeight="390">
                <wp:simplePos x="0" y="0"/>
                <wp:positionH relativeFrom="column">
                  <wp:align>left</wp:align>
                </wp:positionH>
                <wp:positionV relativeFrom="line">
                  <wp:align>top</wp:align>
                </wp:positionV>
                <wp:extent cx="203200" cy="350520"/>
                <wp:effectExtent l="0" t="0" r="0" b="0"/>
                <wp:wrapSquare wrapText="right"/>
                <wp:docPr id="398" name="Frame180"/>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3.</w:t>
                      </w:r>
                      <w:r>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tbl>
      <w:tblPr>
        <w:tblW w:w="9272" w:type="dxa"/>
        <w:jc w:val="left"/>
        <w:tblInd w:w="893" w:type="dxa"/>
        <w:tblLayout w:type="fixed"/>
        <w:tblCellMar>
          <w:top w:w="0" w:type="dxa"/>
          <w:left w:w="0" w:type="dxa"/>
          <w:bottom w:w="0" w:type="dxa"/>
          <w:right w:w="0" w:type="dxa"/>
        </w:tblCellMar>
      </w:tblPr>
      <w:tblGrid>
        <w:gridCol w:w="124"/>
        <w:gridCol w:w="1756"/>
        <w:gridCol w:w="109"/>
        <w:gridCol w:w="109"/>
        <w:gridCol w:w="1786"/>
        <w:gridCol w:w="109"/>
        <w:gridCol w:w="109"/>
        <w:gridCol w:w="1786"/>
        <w:gridCol w:w="109"/>
        <w:gridCol w:w="109"/>
        <w:gridCol w:w="1786"/>
        <w:gridCol w:w="109"/>
        <w:gridCol w:w="109"/>
        <w:gridCol w:w="1006"/>
        <w:gridCol w:w="156"/>
      </w:tblGrid>
      <w:tr>
        <w:trPr/>
        <w:tc>
          <w:tcPr>
            <w:tcW w:w="124" w:type="dxa"/>
            <w:tcBorders/>
            <w:shd w:fill="000000" w:val="clear"/>
            <w:vAlign w:val="center"/>
          </w:tcPr>
          <w:p>
            <w:pPr>
              <w:pStyle w:val="TableContents"/>
              <w:bidi w:val="0"/>
              <w:spacing w:before="0" w:after="283"/>
              <w:jc w:val="left"/>
              <w:rPr/>
            </w:pPr>
            <w:r>
              <w:rPr/>
              <w:t>​</w:t>
            </w:r>
          </w:p>
        </w:tc>
        <w:tc>
          <w:tcPr>
            <w:tcW w:w="1756" w:type="dxa"/>
            <w:tcBorders/>
            <w:shd w:fill="000000" w:val="clear"/>
            <w:vAlign w:val="center"/>
          </w:tcPr>
          <w:p>
            <w:pPr>
              <w:pStyle w:val="TableContents"/>
              <w:bidi w:val="0"/>
              <w:spacing w:before="0" w:after="0"/>
              <w:jc w:val="left"/>
              <w:rPr/>
            </w:pPr>
            <w:r>
              <w:rPr/>
              <w:t xml:space="preserve">Name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86" w:type="dxa"/>
            <w:tcBorders/>
            <w:shd w:fill="000000" w:val="clear"/>
            <w:vAlign w:val="center"/>
          </w:tcPr>
          <w:p>
            <w:pPr>
              <w:pStyle w:val="TableContents"/>
              <w:bidi w:val="0"/>
              <w:spacing w:before="0" w:after="0"/>
              <w:jc w:val="center"/>
              <w:rPr/>
            </w:pPr>
            <w:r>
              <w:rPr/>
              <w:t>Fiscal Year 2024 PSU</w:t>
              <w:br/>
              <w:t>Shares Vesting in</w:t>
              <w:br/>
              <w:t xml:space="preserve">June 2026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86" w:type="dxa"/>
            <w:tcBorders/>
            <w:shd w:fill="000000" w:val="clear"/>
            <w:vAlign w:val="center"/>
          </w:tcPr>
          <w:p>
            <w:pPr>
              <w:pStyle w:val="TableContents"/>
              <w:bidi w:val="0"/>
              <w:spacing w:before="0" w:after="0"/>
              <w:jc w:val="center"/>
              <w:rPr/>
            </w:pPr>
            <w:r>
              <w:rPr/>
              <w:t>Fiscal Year 2025 PSU</w:t>
              <w:br/>
              <w:t>Shares Vesting in</w:t>
              <w:br/>
              <w:t xml:space="preserve">June 2027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86" w:type="dxa"/>
            <w:tcBorders/>
            <w:shd w:fill="000000" w:val="clear"/>
            <w:vAlign w:val="center"/>
          </w:tcPr>
          <w:p>
            <w:pPr>
              <w:pStyle w:val="TableContents"/>
              <w:bidi w:val="0"/>
              <w:spacing w:before="0" w:after="0"/>
              <w:jc w:val="center"/>
              <w:rPr/>
            </w:pPr>
            <w:r>
              <w:rPr/>
              <w:t>Fiscal Year 2026 PSU</w:t>
              <w:br/>
              <w:t>Shares Vesting in</w:t>
              <w:br/>
              <w:t xml:space="preserve">June 2028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06" w:type="dxa"/>
            <w:tcBorders/>
            <w:shd w:fill="000000" w:val="clear"/>
            <w:vAlign w:val="center"/>
          </w:tcPr>
          <w:p>
            <w:pPr>
              <w:pStyle w:val="TableContents"/>
              <w:bidi w:val="0"/>
              <w:spacing w:before="0" w:after="0"/>
              <w:jc w:val="center"/>
              <w:rPr/>
            </w:pPr>
            <w:r>
              <w:rPr/>
              <w:t>Total</w:t>
              <w:br/>
              <w:t>Unvested</w:t>
              <w:br/>
              <w:t xml:space="preserve">Shares </w:t>
            </w:r>
          </w:p>
        </w:tc>
        <w:tc>
          <w:tcPr>
            <w:tcW w:w="156"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756"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James R. Anderson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786"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786"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694,007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786"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102,199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06"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796,206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756"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Sherri Luther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786"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786"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118,583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786"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23,537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06"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142,120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756"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Rob Beard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786"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786"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58,631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786"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21,679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06"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80,310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756"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Julie Eng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786"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11,960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786"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19,301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786"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73,295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06"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104,556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756"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Jeffrey Place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786"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786" w:type="dxa"/>
            <w:tcBorders>
              <w:bottom w:val="single" w:sz="2" w:space="0" w:color="666666"/>
            </w:tcBorders>
            <w:tcMar>
              <w:bottom w:w="99"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786"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24,776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06"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24,776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756"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Giovanni Barbarossa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786"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26,310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786"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20,073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786" w:type="dxa"/>
            <w:tcBorders>
              <w:bottom w:val="single" w:sz="2" w:space="0" w:color="666666"/>
            </w:tcBorders>
            <w:tcMar>
              <w:bottom w:w="99" w:type="dxa"/>
            </w:tcMar>
            <w:vAlign w:val="center"/>
          </w:tcPr>
          <w:p>
            <w:pPr>
              <w:pStyle w:val="TableContents"/>
              <w:bidi w:val="0"/>
              <w:spacing w:before="0" w:after="0"/>
              <w:jc w:val="center"/>
              <w:rPr>
                <w:spacing w:val="-1"/>
              </w:rPr>
            </w:pPr>
            <w:r>
              <w:rPr>
                <w:spacing w:val="-1"/>
              </w:rPr>
              <w:t xml:space="preserve">17,343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06" w:type="dxa"/>
            <w:tcBorders>
              <w:bottom w:val="single" w:sz="2" w:space="0" w:color="666666"/>
            </w:tcBorders>
            <w:tcMar>
              <w:bottom w:w="99" w:type="dxa"/>
            </w:tcMar>
            <w:vAlign w:val="center"/>
          </w:tcPr>
          <w:p>
            <w:pPr>
              <w:pStyle w:val="TableContents"/>
              <w:bidi w:val="0"/>
              <w:spacing w:before="0" w:after="0"/>
              <w:jc w:val="center"/>
              <w:rPr/>
            </w:pPr>
            <w:r>
              <w:rPr>
                <w:spacing w:val="-1"/>
              </w:rPr>
              <w:t>63,726</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65</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1" w:name="tOEAS"/>
      <w:bookmarkEnd w:id="2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640" w:before="120" w:after="6815"/>
        <w:ind w:left="893" w:right="40" w:hanging="0"/>
        <w:jc w:val="left"/>
        <w:rPr>
          <w:rFonts w:ascii="Tahoma;Geneva;sans-serif" w:hAnsi="Tahoma;Geneva;sans-serif"/>
          <w:b/>
          <w:i w:val="false"/>
          <w:caps w:val="false"/>
          <w:smallCaps w:val="false"/>
          <w:color w:val="0068C7"/>
          <w:sz w:val="60"/>
          <w:shd w:fill="FFFFFF" w:val="clear"/>
        </w:rPr>
      </w:pPr>
      <w:r>
        <w:rPr>
          <w:rFonts w:ascii="Tahoma;Geneva;sans-serif" w:hAnsi="Tahoma;Geneva;sans-serif"/>
          <w:b/>
          <w:i w:val="false"/>
          <w:caps w:val="false"/>
          <w:smallCaps w:val="false"/>
          <w:color w:val="0068C7"/>
          <w:sz w:val="60"/>
          <w:shd w:fill="FFFFFF" w:val="clear"/>
        </w:rPr>
        <w:t>OPTIONS EXERCISED AND STOCK VESTED IN FISCAL YEAR 2026</w:t>
      </w:r>
      <w:r>
        <w:rPr>
          <w:rFonts w:ascii="Tahoma;Geneva;sans-serif" w:hAnsi="Tahoma;Geneva;sans-serif"/>
          <w:b/>
          <w:i w:val="false"/>
          <w:caps w:val="false"/>
          <w:smallCaps w:val="false"/>
          <w:color w:val="000000"/>
          <w:spacing w:val="12"/>
          <w:sz w:val="6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following table provides information related to the number of shares acquired upon the vesting of restricted stock and/or RSU awards and PSU awards in fiscal year 2026 and the value realized before payment of any applicable withholding tax or broker commissions.</w:t>
      </w:r>
      <w:r>
        <w:rPr>
          <w:rFonts w:ascii="Arial;Helvetica;sans-serif" w:hAnsi="Arial;Helvetica;sans-serif"/>
          <w:b w:val="false"/>
          <w:i w:val="false"/>
          <w:caps w:val="false"/>
          <w:smallCaps w:val="false"/>
          <w:color w:val="000000"/>
          <w:spacing w:val="4"/>
          <w:sz w:val="19"/>
          <w:shd w:fill="FFFFFF" w:val="clear"/>
        </w:rPr>
        <w:t xml:space="preserve"> </w:t>
      </w:r>
    </w:p>
    <w:tbl>
      <w:tblPr>
        <w:tblW w:w="9272" w:type="dxa"/>
        <w:jc w:val="left"/>
        <w:tblInd w:w="893" w:type="dxa"/>
        <w:tblLayout w:type="fixed"/>
        <w:tblCellMar>
          <w:top w:w="0" w:type="dxa"/>
          <w:left w:w="0" w:type="dxa"/>
          <w:bottom w:w="28" w:type="dxa"/>
          <w:right w:w="0" w:type="dxa"/>
        </w:tblCellMar>
      </w:tblPr>
      <w:tblGrid>
        <w:gridCol w:w="124"/>
        <w:gridCol w:w="1726"/>
        <w:gridCol w:w="109"/>
        <w:gridCol w:w="109"/>
        <w:gridCol w:w="1670"/>
        <w:gridCol w:w="109"/>
        <w:gridCol w:w="109"/>
        <w:gridCol w:w="1524"/>
        <w:gridCol w:w="109"/>
        <w:gridCol w:w="109"/>
        <w:gridCol w:w="1800"/>
        <w:gridCol w:w="109"/>
        <w:gridCol w:w="109"/>
        <w:gridCol w:w="1399"/>
        <w:gridCol w:w="157"/>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1726"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3412" w:type="dxa"/>
            <w:gridSpan w:val="4"/>
            <w:tcBorders>
              <w:bottom w:val="single" w:sz="2" w:space="0" w:color="FFFFFF"/>
            </w:tcBorders>
            <w:shd w:fill="000000" w:val="clear"/>
            <w:tcMar>
              <w:bottom w:w="110" w:type="dxa"/>
            </w:tcMar>
            <w:vAlign w:val="center"/>
          </w:tcPr>
          <w:p>
            <w:pPr>
              <w:pStyle w:val="TableContents"/>
              <w:bidi w:val="0"/>
              <w:spacing w:before="0" w:after="0"/>
              <w:jc w:val="center"/>
              <w:rPr/>
            </w:pPr>
            <w:r>
              <w:rPr/>
              <w:t xml:space="preserve">Option Awards </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3417" w:type="dxa"/>
            <w:gridSpan w:val="4"/>
            <w:tcBorders>
              <w:bottom w:val="single" w:sz="2" w:space="0" w:color="FFFFFF"/>
            </w:tcBorders>
            <w:shd w:fill="000000" w:val="clear"/>
            <w:tcMar>
              <w:bottom w:w="110" w:type="dxa"/>
            </w:tcMar>
            <w:vAlign w:val="center"/>
          </w:tcPr>
          <w:p>
            <w:pPr>
              <w:pStyle w:val="TableContents"/>
              <w:bidi w:val="0"/>
              <w:spacing w:before="0" w:after="0"/>
              <w:jc w:val="center"/>
              <w:rPr/>
            </w:pPr>
            <w:r>
              <w:rPr/>
              <w:t xml:space="preserve">Stock Awards </w:t>
            </w:r>
          </w:p>
        </w:tc>
        <w:tc>
          <w:tcPr>
            <w:tcW w:w="157" w:type="dxa"/>
            <w:tcBorders>
              <w:bottom w:val="single" w:sz="2" w:space="0" w:color="000000"/>
            </w:tcBorders>
            <w:shd w:fill="000000" w:val="clear"/>
            <w:vAlign w:val="center"/>
          </w:tcPr>
          <w:p>
            <w:pPr>
              <w:pStyle w:val="TableContents"/>
              <w:bidi w:val="0"/>
              <w:spacing w:before="0" w:after="283"/>
              <w:jc w:val="left"/>
              <w:rPr/>
            </w:pPr>
            <w:r>
              <w:rPr/>
              <w:t>​</w:t>
            </w:r>
          </w:p>
        </w:tc>
      </w:tr>
      <w:tr>
        <w:trPr/>
        <w:tc>
          <w:tcPr>
            <w:tcW w:w="124" w:type="dxa"/>
            <w:tcBorders/>
            <w:shd w:fill="000000" w:val="clear"/>
            <w:tcMar>
              <w:bottom w:w="0" w:type="dxa"/>
            </w:tcMar>
            <w:vAlign w:val="center"/>
          </w:tcPr>
          <w:p>
            <w:pPr>
              <w:pStyle w:val="TableContents"/>
              <w:bidi w:val="0"/>
              <w:spacing w:before="0" w:after="283"/>
              <w:jc w:val="left"/>
              <w:rPr/>
            </w:pPr>
            <w:r>
              <w:rPr/>
              <w:t>​</w:t>
            </w:r>
          </w:p>
        </w:tc>
        <w:tc>
          <w:tcPr>
            <w:tcW w:w="1726"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670" w:type="dxa"/>
            <w:tcBorders/>
            <w:shd w:fill="000000" w:val="clear"/>
            <w:tcMar>
              <w:bottom w:w="0" w:type="dxa"/>
            </w:tcMar>
            <w:vAlign w:val="center"/>
          </w:tcPr>
          <w:p>
            <w:pPr>
              <w:pStyle w:val="TableContents"/>
              <w:bidi w:val="0"/>
              <w:spacing w:before="0" w:after="0"/>
              <w:jc w:val="center"/>
              <w:rPr/>
            </w:pPr>
            <w:r>
              <w:rPr/>
              <w:t>Number of Shares</w:t>
              <w:br/>
              <w:t>Acquired on Exercise</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524" w:type="dxa"/>
            <w:tcBorders/>
            <w:shd w:fill="000000" w:val="clear"/>
            <w:tcMar>
              <w:bottom w:w="0" w:type="dxa"/>
            </w:tcMar>
            <w:vAlign w:val="center"/>
          </w:tcPr>
          <w:p>
            <w:pPr>
              <w:pStyle w:val="TableContents"/>
              <w:bidi w:val="0"/>
              <w:spacing w:before="0" w:after="0"/>
              <w:jc w:val="center"/>
              <w:rPr/>
            </w:pPr>
            <w:r>
              <w:rPr/>
              <w:t>Value Realized on</w:t>
              <w:br/>
              <w:t>Exercise</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800" w:type="dxa"/>
            <w:tcBorders/>
            <w:shd w:fill="000000" w:val="clear"/>
            <w:tcMar>
              <w:bottom w:w="0" w:type="dxa"/>
            </w:tcMar>
            <w:vAlign w:val="center"/>
          </w:tcPr>
          <w:p>
            <w:pPr>
              <w:pStyle w:val="TableContents"/>
              <w:bidi w:val="0"/>
              <w:spacing w:before="0" w:after="0"/>
              <w:jc w:val="center"/>
              <w:rPr/>
            </w:pPr>
            <w:r>
              <w:rPr/>
              <w:t>Number of Shares</w:t>
              <w:br/>
              <w:t>Acquired Upon Vesting</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399" w:type="dxa"/>
            <w:tcBorders/>
            <w:shd w:fill="000000" w:val="clear"/>
            <w:tcMar>
              <w:bottom w:w="0" w:type="dxa"/>
            </w:tcMar>
            <w:vAlign w:val="center"/>
          </w:tcPr>
          <w:p>
            <w:pPr>
              <w:pStyle w:val="TableContents"/>
              <w:bidi w:val="0"/>
              <w:spacing w:lineRule="atLeast" w:line="142" w:before="0" w:after="0"/>
              <w:jc w:val="center"/>
              <w:rPr/>
            </w:pPr>
            <w:r>
              <w:rPr/>
              <w:t>Value Realized</w:t>
              <w:br/>
              <w:t>Upon Vesting</w:t>
              <w:br/>
              <w:t>($)</w:t>
            </w:r>
            <w:r>
              <w:rPr>
                <w:sz w:val="10"/>
              </w:rPr>
              <w:t>1</w:t>
            </w:r>
          </w:p>
        </w:tc>
        <w:tc>
          <w:tcPr>
            <w:tcW w:w="157" w:type="dxa"/>
            <w:tcBorders/>
            <w:shd w:fill="000000"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1726"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James R. Anderson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670"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24"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800"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49,071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399"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20,947,919 </w:t>
            </w:r>
          </w:p>
        </w:tc>
        <w:tc>
          <w:tcPr>
            <w:tcW w:w="157"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1726"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Sherri Luther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670"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24"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800"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36,877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399"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4,097,035 </w:t>
            </w:r>
          </w:p>
        </w:tc>
        <w:tc>
          <w:tcPr>
            <w:tcW w:w="157"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1726"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Rob Beard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670"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24"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800"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13,029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399"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1,566,086 </w:t>
            </w:r>
          </w:p>
        </w:tc>
        <w:tc>
          <w:tcPr>
            <w:tcW w:w="157"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1726"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Julie Eng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670"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24"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800"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21,113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399"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2,660,879 </w:t>
            </w:r>
          </w:p>
        </w:tc>
        <w:tc>
          <w:tcPr>
            <w:tcW w:w="157"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1726"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Jeffrey Place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670"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24"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800"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399"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57"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1726"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Giovanni Barbarossa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670"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59,480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24"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5,969,845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800"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41,974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399" w:type="dxa"/>
            <w:tcBorders>
              <w:bottom w:val="single" w:sz="2" w:space="0" w:color="666666"/>
            </w:tcBorders>
            <w:tcMar>
              <w:bottom w:w="88" w:type="dxa"/>
            </w:tcMar>
            <w:vAlign w:val="center"/>
          </w:tcPr>
          <w:p>
            <w:pPr>
              <w:pStyle w:val="TableContents"/>
              <w:bidi w:val="0"/>
              <w:spacing w:before="0" w:after="0"/>
              <w:jc w:val="center"/>
              <w:rPr/>
            </w:pPr>
            <w:r>
              <w:rPr>
                <w:spacing w:val="-1"/>
              </w:rPr>
              <w:t>3,807,462</w:t>
            </w:r>
            <w:r>
              <w:rPr/>
              <w:t xml:space="preserve"> </w:t>
            </w:r>
          </w:p>
        </w:tc>
        <w:tc>
          <w:tcPr>
            <w:tcW w:w="157" w:type="dxa"/>
            <w:tcBorders>
              <w:bottom w:val="single" w:sz="2" w:space="0" w:color="666666"/>
            </w:tcBorders>
            <w:vAlign w:val="center"/>
          </w:tcPr>
          <w:p>
            <w:pPr>
              <w:pStyle w:val="TableContents"/>
              <w:bidi w:val="0"/>
              <w:spacing w:before="0" w:after="283"/>
              <w:jc w:val="left"/>
              <w:rPr/>
            </w:pPr>
            <w:r>
              <w:rPr/>
              <w:t>​</w:t>
            </w:r>
          </w:p>
        </w:tc>
      </w:tr>
    </w:tbl>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200" w:after="0"/>
        <w:ind w:left="1213" w:right="40" w:hanging="0"/>
        <w:jc w:val="left"/>
        <w:rPr>
          <w:rFonts w:ascii="Arial;Helvetica;sans-serif" w:hAnsi="Arial;Helvetica;sans-serif"/>
          <w:b w:val="false"/>
          <w:i w:val="false"/>
          <w:caps w:val="false"/>
          <w:smallCaps w:val="false"/>
          <w:color w:val="000000"/>
          <w:spacing w:val="-1"/>
          <w:sz w:val="14"/>
          <w:shd w:fill="FFFFFF" w:val="clear"/>
        </w:rPr>
      </w:pPr>
      <w:r>
        <w:rPr>
          <w:rFonts w:ascii="Arial;Helvetica;sans-serif" w:hAnsi="Arial;Helvetica;sans-serif"/>
          <w:b w:val="false"/>
          <w:i w:val="false"/>
          <w:caps w:val="false"/>
          <w:smallCaps w:val="false"/>
          <w:color w:val="000000"/>
          <w:spacing w:val="-1"/>
          <w:sz w:val="14"/>
          <w:shd w:fill="FFFFFF" w:val="clear"/>
        </w:rPr>
        <w:t xml:space="preserve">The amount in this column equals the gross number of shares or units that vested, multiplied by the closing price of our Common Stock on the applicable vesting date, and includes any amounts that were withheld for taxes. </w:t>
      </w:r>
      <w:r>
        <mc:AlternateContent>
          <mc:Choice Requires="wps">
            <w:drawing>
              <wp:anchor behindDoc="0" distT="127000" distB="0" distL="0" distR="0" simplePos="0" locked="0" layoutInCell="1" allowOverlap="1" relativeHeight="391">
                <wp:simplePos x="0" y="0"/>
                <wp:positionH relativeFrom="column">
                  <wp:align>left</wp:align>
                </wp:positionH>
                <wp:positionV relativeFrom="line">
                  <wp:align>top</wp:align>
                </wp:positionV>
                <wp:extent cx="203200" cy="204470"/>
                <wp:effectExtent l="0" t="0" r="0" b="0"/>
                <wp:wrapSquare wrapText="right"/>
                <wp:docPr id="399" name="Frame181"/>
                <a:graphic xmlns:a="http://schemas.openxmlformats.org/drawingml/2006/main">
                  <a:graphicData uri="http://schemas.microsoft.com/office/word/2010/wordprocessingShape">
                    <wps:wsp>
                      <wps:cNvSpPr txBox="1"/>
                      <wps:spPr>
                        <a:xfrm>
                          <a:off x="0" y="0"/>
                          <a:ext cx="203200" cy="204470"/>
                        </a:xfrm>
                        <a:prstGeom prst="rect"/>
                        <a:solidFill>
                          <a:srgbClr val="FFFFFF"/>
                        </a:solidFill>
                      </wps:spPr>
                      <wps:txbx>
                        <w:txbxContent>
                          <w:p>
                            <w:pPr>
                              <w:pStyle w:val="TextBody"/>
                              <w:bidi w:val="0"/>
                              <w:spacing w:before="0" w:after="283"/>
                              <w:jc w:val="left"/>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16pt;height:16.1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before="0" w:after="283"/>
                        <w:jc w:val="left"/>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66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2" w:name="tNDCF"/>
      <w:bookmarkEnd w:id="2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640" w:before="120" w:after="2510"/>
        <w:ind w:left="893" w:right="40" w:hanging="0"/>
        <w:jc w:val="left"/>
        <w:rPr>
          <w:rFonts w:ascii="Tahoma;Geneva;sans-serif" w:hAnsi="Tahoma;Geneva;sans-serif"/>
          <w:b/>
          <w:i w:val="false"/>
          <w:caps w:val="false"/>
          <w:smallCaps w:val="false"/>
          <w:color w:val="0068C7"/>
          <w:sz w:val="60"/>
          <w:shd w:fill="FFFFFF" w:val="clear"/>
        </w:rPr>
      </w:pPr>
      <w:r>
        <w:rPr>
          <w:rFonts w:ascii="Tahoma;Geneva;sans-serif" w:hAnsi="Tahoma;Geneva;sans-serif"/>
          <w:b/>
          <w:i w:val="false"/>
          <w:caps w:val="false"/>
          <w:smallCaps w:val="false"/>
          <w:color w:val="0068C7"/>
          <w:sz w:val="60"/>
          <w:shd w:fill="FFFFFF" w:val="clear"/>
        </w:rPr>
        <w:t>NONQUALIFIED DEFERRED COMPENSATION FOR FISCAL YEAR 2026</w:t>
      </w:r>
      <w:r>
        <w:rPr>
          <w:rFonts w:ascii="Tahoma;Geneva;sans-serif" w:hAnsi="Tahoma;Geneva;sans-serif"/>
          <w:b/>
          <w:i w:val="false"/>
          <w:caps w:val="false"/>
          <w:smallCaps w:val="false"/>
          <w:color w:val="000000"/>
          <w:spacing w:val="12"/>
          <w:sz w:val="6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This table provides information regarding executive contributions to, and aggregate earnings under, the Deferred Compensation Plan for our NEOs as of and for the fiscal year ended June 30, 2026.</w:t>
      </w:r>
      <w:r>
        <w:rPr>
          <w:rFonts w:ascii="Arial;Helvetica;sans-serif" w:hAnsi="Arial;Helvetica;sans-serif"/>
          <w:b w:val="false"/>
          <w:i w:val="false"/>
          <w:caps w:val="false"/>
          <w:smallCaps w:val="false"/>
          <w:color w:val="000000"/>
          <w:spacing w:val="4"/>
          <w:sz w:val="19"/>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1338"/>
        <w:gridCol w:w="109"/>
        <w:gridCol w:w="109"/>
        <w:gridCol w:w="1470"/>
        <w:gridCol w:w="109"/>
        <w:gridCol w:w="109"/>
        <w:gridCol w:w="1396"/>
        <w:gridCol w:w="109"/>
        <w:gridCol w:w="109"/>
        <w:gridCol w:w="1096"/>
        <w:gridCol w:w="109"/>
        <w:gridCol w:w="109"/>
        <w:gridCol w:w="1366"/>
        <w:gridCol w:w="109"/>
        <w:gridCol w:w="109"/>
        <w:gridCol w:w="1236"/>
        <w:gridCol w:w="156"/>
      </w:tblGrid>
      <w:tr>
        <w:trPr/>
        <w:tc>
          <w:tcPr>
            <w:tcW w:w="124" w:type="dxa"/>
            <w:tcBorders/>
            <w:shd w:fill="000000" w:val="clear"/>
            <w:vAlign w:val="center"/>
          </w:tcPr>
          <w:p>
            <w:pPr>
              <w:pStyle w:val="TableContents"/>
              <w:bidi w:val="0"/>
              <w:spacing w:before="0" w:after="283"/>
              <w:jc w:val="left"/>
              <w:rPr/>
            </w:pPr>
            <w:r>
              <w:rPr/>
              <w:t>​</w:t>
            </w:r>
          </w:p>
        </w:tc>
        <w:tc>
          <w:tcPr>
            <w:tcW w:w="1338" w:type="dxa"/>
            <w:tcBorders/>
            <w:shd w:fill="000000" w:val="clear"/>
            <w:vAlign w:val="center"/>
          </w:tcPr>
          <w:p>
            <w:pPr>
              <w:pStyle w:val="TableContents"/>
              <w:bidi w:val="0"/>
              <w:spacing w:before="0" w:after="0"/>
              <w:jc w:val="left"/>
              <w:rPr/>
            </w:pPr>
            <w:r>
              <w:rPr/>
              <w:t xml:space="preserve">Name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70" w:type="dxa"/>
            <w:tcBorders/>
            <w:shd w:fill="000000" w:val="clear"/>
            <w:vAlign w:val="center"/>
          </w:tcPr>
          <w:p>
            <w:pPr>
              <w:pStyle w:val="TableContents"/>
              <w:bidi w:val="0"/>
              <w:spacing w:before="0" w:after="0"/>
              <w:jc w:val="center"/>
              <w:rPr/>
            </w:pPr>
            <w:r>
              <w:rPr/>
              <w:t>Executive</w:t>
              <w:br/>
              <w:t xml:space="preserve">Contributions ($)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96" w:type="dxa"/>
            <w:tcBorders/>
            <w:shd w:fill="000000" w:val="clear"/>
            <w:vAlign w:val="center"/>
          </w:tcPr>
          <w:p>
            <w:pPr>
              <w:pStyle w:val="TableContents"/>
              <w:bidi w:val="0"/>
              <w:spacing w:lineRule="atLeast" w:line="142" w:before="0" w:after="0"/>
              <w:jc w:val="center"/>
              <w:rPr/>
            </w:pPr>
            <w:r>
              <w:rPr/>
              <w:t>Registrant</w:t>
              <w:br/>
              <w:t>Contributions</w:t>
              <w:br/>
              <w:t>($)</w:t>
            </w:r>
            <w:r>
              <w:rPr>
                <w:sz w:val="10"/>
              </w:rPr>
              <w:t>1</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6" w:type="dxa"/>
            <w:tcBorders/>
            <w:shd w:fill="000000" w:val="clear"/>
            <w:vAlign w:val="center"/>
          </w:tcPr>
          <w:p>
            <w:pPr>
              <w:pStyle w:val="TableContents"/>
              <w:bidi w:val="0"/>
              <w:spacing w:lineRule="atLeast" w:line="142" w:before="0" w:after="0"/>
              <w:jc w:val="center"/>
              <w:rPr/>
            </w:pPr>
            <w:r>
              <w:rPr/>
              <w:t>Aggregate</w:t>
              <w:br/>
              <w:t>Earnings</w:t>
              <w:br/>
              <w:t>(Loss) ($)</w:t>
            </w:r>
            <w:r>
              <w:rPr>
                <w:sz w:val="10"/>
              </w:rPr>
              <w:t>2</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66" w:type="dxa"/>
            <w:tcBorders/>
            <w:shd w:fill="000000" w:val="clear"/>
            <w:vAlign w:val="center"/>
          </w:tcPr>
          <w:p>
            <w:pPr>
              <w:pStyle w:val="TableContents"/>
              <w:bidi w:val="0"/>
              <w:spacing w:before="0" w:after="0"/>
              <w:jc w:val="center"/>
              <w:rPr/>
            </w:pPr>
            <w:r>
              <w:rPr/>
              <w:t>Aggregate</w:t>
              <w:br/>
              <w:t>Withdrawals/​</w:t>
              <w:br/>
              <w:t>Distributions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36" w:type="dxa"/>
            <w:tcBorders/>
            <w:shd w:fill="000000" w:val="clear"/>
            <w:vAlign w:val="center"/>
          </w:tcPr>
          <w:p>
            <w:pPr>
              <w:pStyle w:val="TableContents"/>
              <w:bidi w:val="0"/>
              <w:spacing w:before="0" w:after="0"/>
              <w:jc w:val="center"/>
              <w:rPr/>
            </w:pPr>
            <w:r>
              <w:rPr/>
              <w:t>Aggregate</w:t>
              <w:br/>
              <w:t>Balance at</w:t>
              <w:br/>
              <w:t xml:space="preserve">June 30, 2026 ($) </w:t>
            </w:r>
          </w:p>
        </w:tc>
        <w:tc>
          <w:tcPr>
            <w:tcW w:w="156"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338"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James R. Anderson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0"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96"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6"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66"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36"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338"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Sherri Luther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0"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96"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6"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66"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36"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338"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Rob Beard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0"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96"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6"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66"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36"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338"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Julie Eng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0"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656,516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96"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99,110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66"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3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786,318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338"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Jeffrey Place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0"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96"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6"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66"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36"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338"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Giovanni Barbarossa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0"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96"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19,597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66"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36" w:type="dxa"/>
            <w:tcBorders>
              <w:bottom w:val="single" w:sz="2" w:space="0" w:color="666666"/>
            </w:tcBorders>
            <w:tcMar>
              <w:bottom w:w="88" w:type="dxa"/>
            </w:tcMar>
            <w:vAlign w:val="center"/>
          </w:tcPr>
          <w:p>
            <w:pPr>
              <w:pStyle w:val="TableContents"/>
              <w:bidi w:val="0"/>
              <w:spacing w:before="0" w:after="0"/>
              <w:jc w:val="center"/>
              <w:rPr/>
            </w:pPr>
            <w:r>
              <w:rPr>
                <w:spacing w:val="-1"/>
              </w:rPr>
              <w:t>125,021</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20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Amounts in this column represent certain matching contributions made under the Deferred Compensation Plan for fiscal year 2026 to make up for IRS limitations on matching contributions under the 401(k) Retirement Savings Plan for calendar year 2026. These amounts were included as fiscal year 2026 compensation under “All Other Compensation” in the Summary Compensation Table.</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127000" distB="0" distL="0" distR="0" simplePos="0" locked="0" layoutInCell="1" allowOverlap="1" relativeHeight="392">
                <wp:simplePos x="0" y="0"/>
                <wp:positionH relativeFrom="column">
                  <wp:align>left</wp:align>
                </wp:positionH>
                <wp:positionV relativeFrom="line">
                  <wp:align>top</wp:align>
                </wp:positionV>
                <wp:extent cx="203200" cy="204470"/>
                <wp:effectExtent l="0" t="0" r="0" b="0"/>
                <wp:wrapSquare wrapText="right"/>
                <wp:docPr id="400" name="Frame182"/>
                <a:graphic xmlns:a="http://schemas.openxmlformats.org/drawingml/2006/main">
                  <a:graphicData uri="http://schemas.microsoft.com/office/word/2010/wordprocessingShape">
                    <wps:wsp>
                      <wps:cNvSpPr txBox="1"/>
                      <wps:spPr>
                        <a:xfrm>
                          <a:off x="0" y="0"/>
                          <a:ext cx="203200" cy="204470"/>
                        </a:xfrm>
                        <a:prstGeom prst="rect"/>
                        <a:solidFill>
                          <a:srgbClr val="FFFFFF"/>
                        </a:solidFill>
                      </wps:spPr>
                      <wps:txbx>
                        <w:txbxContent>
                          <w:p>
                            <w:pPr>
                              <w:pStyle w:val="TextBody"/>
                              <w:bidi w:val="0"/>
                              <w:spacing w:before="0" w:after="283"/>
                              <w:jc w:val="left"/>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16pt;height:16.1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before="0" w:after="283"/>
                        <w:jc w:val="left"/>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Aggregate earnings include all changes in value based on performance of deemed investments elected by the NEO under the Deferred Compensation Plan. The Deferred Compensation Plan is administered by a third party and provides for deemed investment options similar to the investment options available under the Company’s 401(k) Retirement Savings Plan, with the exception that amounts under the Deferred Compensation Plan may be invested in Common Stock. Amounts that are deferred into Common Stock must remain invested in Common Stock and must be paid out in shares of Common Stock upon a qualifying distribution event.</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50800" distB="0" distL="0" distR="0" simplePos="0" locked="0" layoutInCell="1" allowOverlap="1" relativeHeight="393">
                <wp:simplePos x="0" y="0"/>
                <wp:positionH relativeFrom="column">
                  <wp:align>left</wp:align>
                </wp:positionH>
                <wp:positionV relativeFrom="line">
                  <wp:align>top</wp:align>
                </wp:positionV>
                <wp:extent cx="203200" cy="228600"/>
                <wp:effectExtent l="0" t="0" r="0" b="0"/>
                <wp:wrapSquare wrapText="right"/>
                <wp:docPr id="401" name="Frame183"/>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2.</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2.</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0" w:before="180" w:after="283"/>
        <w:jc w:val="left"/>
        <w:rPr>
          <w:rFonts w:ascii="Arial;Helvetica;sans-serif" w:hAnsi="Arial;Helvetica;sans-serif"/>
          <w:b w:val="false"/>
          <w:i w:val="false"/>
          <w:caps w:val="false"/>
          <w:smallCaps w:val="false"/>
          <w:color w:val="000000"/>
          <w:spacing w:val="-1"/>
          <w:sz w:val="19"/>
          <w:shd w:fill="FFFFFF" w:val="clear"/>
        </w:rPr>
      </w:pPr>
      <w:r>
        <w:rPr>
          <w:rFonts w:ascii="Arial;Helvetica;sans-serif" w:hAnsi="Arial;Helvetica;sans-serif"/>
          <w:b w:val="false"/>
          <w:i w:val="false"/>
          <w:caps w:val="false"/>
          <w:smallCaps w:val="false"/>
          <w:color w:val="000000"/>
          <w:spacing w:val="-1"/>
          <w:sz w:val="19"/>
          <w:shd w:fill="FFFFFF" w:val="clear"/>
        </w:rPr>
        <w:t xml:space="preserve">The Deferred Compensation Plan was established to provide retirement savings benefits for NEOs and certain other employees beyond what is available through the 401(k) Retirement Savings Plan, which is subject to IRS limitations on annual contributions and compensation. Under the Deferred Compensation Plan, eligible participants can elect to defer up to 100% of certain performance-based cash incentive compensation and certain equity awards into an account that will be credited with earnings at the same rate as one or more deemed investments chosen by the participant. The Company may make matching contributions and other Company contributions to the Deferred Compensation Plan. A participant’s right to receive benefits under the Deferred Compensation Plan is an unfunded, unsecured right, no greater than the claim of a general creditor of the Company. Any assets that the Company sets aside to pay benefits under the Deferred Compensation Plan are the property of the Company and subject to claims of the Company’s creditors in case of the Company’s insolvency. Participants are eligible to receive distributions from the Deferred Compensation Plan upon a separation from service (as defined in the Deferred Compensation Plan) and may also receive in-service distributions in certain circumstances. They may also elect to receive payments in a lump sum or in annual installments over a specified term of years.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67</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3" w:name="tPPUT"/>
      <w:bookmarkEnd w:id="2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630" w:before="120" w:after="283"/>
        <w:ind w:left="893" w:right="40" w:hanging="0"/>
        <w:jc w:val="left"/>
        <w:rPr>
          <w:rFonts w:ascii="Tahoma;Geneva;sans-serif" w:hAnsi="Tahoma;Geneva;sans-serif"/>
          <w:b/>
          <w:i w:val="false"/>
          <w:caps w:val="false"/>
          <w:smallCaps w:val="false"/>
          <w:color w:val="0068C7"/>
          <w:sz w:val="60"/>
          <w:shd w:fill="FFFFFF" w:val="clear"/>
        </w:rPr>
      </w:pPr>
      <w:r>
        <w:rPr>
          <w:rFonts w:ascii="Tahoma;Geneva;sans-serif" w:hAnsi="Tahoma;Geneva;sans-serif"/>
          <w:b/>
          <w:i w:val="false"/>
          <w:caps w:val="false"/>
          <w:smallCaps w:val="false"/>
          <w:color w:val="0068C7"/>
          <w:sz w:val="60"/>
          <w:shd w:fill="FFFFFF" w:val="clear"/>
        </w:rPr>
        <w:t>POTENTIAL PAYMENTS UPON TERMINATION AND/OR CHANGE IN CONTROL</w:t>
      </w:r>
      <w:r>
        <w:rPr>
          <w:rFonts w:ascii="Tahoma;Geneva;sans-serif" w:hAnsi="Tahoma;Geneva;sans-serif"/>
          <w:b/>
          <w:i w:val="false"/>
          <w:caps w:val="false"/>
          <w:smallCaps w:val="false"/>
          <w:color w:val="000000"/>
          <w:spacing w:val="12"/>
          <w:sz w:val="60"/>
          <w:shd w:fill="FFFFFF" w:val="clear"/>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Each of our NEOs is eligible to receive potential benefits and/or payments upon termination of employment and/or change in control.</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440" w:before="36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TREATMENT OF EQUITY AWARDS</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equity award agreements for the NEOs’ outstanding, unvested equity awards — currently comprised only of restricted stock units (“RSUs”) and performance share units (“PSUs”) — include the following vesting treatment upon termination of employment, subject to more favorable treatment under individual agreements or severance plans as described below:</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5" w:before="174"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i w:val="false"/>
          <w:caps w:val="false"/>
          <w:smallCaps w:val="false"/>
          <w:color w:val="000000"/>
          <w:spacing w:val="0"/>
          <w:sz w:val="19"/>
          <w:shd w:fill="FFFFFF" w:val="clear"/>
        </w:rPr>
        <w:t>Death or Disability</w:t>
      </w:r>
      <w:r>
        <w:rPr>
          <w:rFonts w:ascii="Arial;Helvetica;sans-serif" w:hAnsi="Arial;Helvetica;sans-serif"/>
          <w:b w:val="false"/>
          <w:i w:val="false"/>
          <w:caps w:val="false"/>
          <w:smallCaps w:val="false"/>
          <w:color w:val="000000"/>
          <w:spacing w:val="-1"/>
          <w:sz w:val="19"/>
          <w:shd w:fill="FFFFFF" w:val="clear"/>
        </w:rPr>
        <w:t>: If a NEO dies or becomes disabled, such NEO’s (i) RSUs immediately vest, and (ii) PSUs will generally be prorated, based on the months employed during the performance period, subject to actual performance results for the full performance period.</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0490" distB="0" distL="76200" distR="0" simplePos="0" locked="0" layoutInCell="1" allowOverlap="1" relativeHeight="394">
                <wp:simplePos x="0" y="0"/>
                <wp:positionH relativeFrom="column">
                  <wp:align>left</wp:align>
                </wp:positionH>
                <wp:positionV relativeFrom="line">
                  <wp:align>top</wp:align>
                </wp:positionV>
                <wp:extent cx="127000" cy="350520"/>
                <wp:effectExtent l="0" t="0" r="0" b="0"/>
                <wp:wrapSquare wrapText="right"/>
                <wp:docPr id="402"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8.7pt;mso-wrap-distance-bottom:0pt;margin-top:8.7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74"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i w:val="false"/>
          <w:caps w:val="false"/>
          <w:smallCaps w:val="false"/>
          <w:color w:val="000000"/>
          <w:spacing w:val="0"/>
          <w:sz w:val="19"/>
          <w:shd w:fill="FFFFFF" w:val="clear"/>
        </w:rPr>
        <w:t>Termination without Cause or with Good Reason (Non-Change in Control)</w:t>
      </w:r>
      <w:r>
        <w:rPr>
          <w:rFonts w:ascii="Arial;Helvetica;sans-serif" w:hAnsi="Arial;Helvetica;sans-serif"/>
          <w:b w:val="false"/>
          <w:i w:val="false"/>
          <w:caps w:val="false"/>
          <w:smallCaps w:val="false"/>
          <w:color w:val="000000"/>
          <w:spacing w:val="-1"/>
          <w:sz w:val="19"/>
          <w:shd w:fill="FFFFFF" w:val="clear"/>
        </w:rPr>
        <w:t>: If a NEO is terminated by the Company without Cause or by the NEO for Good Reason (other than during the two-year period following a Change in Control), RSUs and PSUs with a vesting date within twelve months of the date of termination will fully vest. In addition, any RSUs and PSUs with a vesting tranche during the twelve months following the date of termination will be prorated, based on the number of months employed during the performance or vesting period, subject to actual performance results for the full performance period (in the case of PSUs).</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0490" distB="0" distL="76200" distR="0" simplePos="0" locked="0" layoutInCell="1" allowOverlap="1" relativeHeight="395">
                <wp:simplePos x="0" y="0"/>
                <wp:positionH relativeFrom="column">
                  <wp:align>left</wp:align>
                </wp:positionH>
                <wp:positionV relativeFrom="line">
                  <wp:align>top</wp:align>
                </wp:positionV>
                <wp:extent cx="127000" cy="350520"/>
                <wp:effectExtent l="0" t="0" r="0" b="0"/>
                <wp:wrapSquare wrapText="right"/>
                <wp:docPr id="403"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8.7pt;mso-wrap-distance-bottom:0pt;margin-top:8.7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76"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i w:val="false"/>
          <w:caps w:val="false"/>
          <w:smallCaps w:val="false"/>
          <w:color w:val="000000"/>
          <w:spacing w:val="0"/>
          <w:sz w:val="19"/>
          <w:shd w:fill="FFFFFF" w:val="clear"/>
        </w:rPr>
        <w:t>Change in Control (Double-Trigger)</w:t>
      </w:r>
      <w:r>
        <w:rPr>
          <w:rFonts w:ascii="Arial;Helvetica;sans-serif" w:hAnsi="Arial;Helvetica;sans-serif"/>
          <w:b w:val="false"/>
          <w:i w:val="false"/>
          <w:caps w:val="false"/>
          <w:smallCaps w:val="false"/>
          <w:color w:val="000000"/>
          <w:spacing w:val="-1"/>
          <w:sz w:val="19"/>
          <w:shd w:fill="FFFFFF" w:val="clear"/>
        </w:rPr>
        <w:t>: If the Company has a Change in Control and the resulting entity assumes, converts or replaces outstanding Company equity awards upon the Change in Control, the equity awards will not accelerate and vest unless, within two years of the date of the Change in Control, the NEO’s employment is terminated by the Company without Cause or by the NEO for Good Reason, in which cases unvested awards will fully vest upon such termination of employment. Vesting of PSUs in each case will be based on the greater of (x) an assumed achievement of all relevant performance goals at the “target level” and (y) the actual level of achievement of all relevant performance goals against target as of the Company’s fiscal quarter end preceding the Change in Control. Because vesting requires the occurrence of two events, a Change in Control followed by an involuntary employment termination (as described in this paragraph), this vesting treatment is often referred to as a “double trigger” vesting. If, however, the Company has a Change in Control and the resulting entity does not assume, convert or replace the equity awards, the NEO’s outstanding equity awards will fully vest upon the Change in Control, based on the same assumed performance for PSUs (</w:t>
      </w:r>
      <w:r>
        <w:rPr>
          <w:rFonts w:ascii="Arial;Helvetica;sans-serif" w:hAnsi="Arial;Helvetica;sans-serif"/>
          <w:b w:val="false"/>
          <w:i/>
          <w:caps w:val="false"/>
          <w:smallCaps w:val="false"/>
          <w:color w:val="000000"/>
          <w:sz w:val="19"/>
          <w:shd w:fill="FFFFFF" w:val="clear"/>
        </w:rPr>
        <w:t>i.e</w:t>
      </w:r>
      <w:r>
        <w:rPr>
          <w:rFonts w:ascii="Arial;Helvetica;sans-serif" w:hAnsi="Arial;Helvetica;sans-serif"/>
          <w:b w:val="false"/>
          <w:i w:val="false"/>
          <w:caps w:val="false"/>
          <w:smallCaps w:val="false"/>
          <w:color w:val="000000"/>
          <w:spacing w:val="-1"/>
          <w:sz w:val="19"/>
          <w:shd w:fill="FFFFFF" w:val="clear"/>
        </w:rPr>
        <w:t>., greater of target or actual performance).</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1760" distB="0" distL="76200" distR="0" simplePos="0" locked="0" layoutInCell="1" allowOverlap="1" relativeHeight="396">
                <wp:simplePos x="0" y="0"/>
                <wp:positionH relativeFrom="column">
                  <wp:align>left</wp:align>
                </wp:positionH>
                <wp:positionV relativeFrom="line">
                  <wp:align>top</wp:align>
                </wp:positionV>
                <wp:extent cx="127000" cy="350520"/>
                <wp:effectExtent l="0" t="0" r="0" b="0"/>
                <wp:wrapSquare wrapText="right"/>
                <wp:docPr id="404"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8.8pt;mso-wrap-distance-bottom:0pt;margin-top:8.8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76"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i w:val="false"/>
          <w:caps w:val="false"/>
          <w:smallCaps w:val="false"/>
          <w:color w:val="000000"/>
          <w:spacing w:val="0"/>
          <w:sz w:val="19"/>
          <w:shd w:fill="FFFFFF" w:val="clear"/>
        </w:rPr>
        <w:t>All Other Terminations</w:t>
      </w:r>
      <w:r>
        <w:rPr>
          <w:rFonts w:ascii="Arial;Helvetica;sans-serif" w:hAnsi="Arial;Helvetica;sans-serif"/>
          <w:b w:val="false"/>
          <w:i w:val="false"/>
          <w:caps w:val="false"/>
          <w:smallCaps w:val="false"/>
          <w:color w:val="000000"/>
          <w:spacing w:val="-1"/>
          <w:sz w:val="19"/>
          <w:shd w:fill="FFFFFF" w:val="clear"/>
        </w:rPr>
        <w:t>: Unvested RSUs and PSUs immediately forfeit upon any other termination of employment, except as may otherwise be provided in individual agreements or severance plans or as determined by the Compensation and Human Capital Committee in its discretion.</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1760" distB="0" distL="76200" distR="0" simplePos="0" locked="0" layoutInCell="1" allowOverlap="1" relativeHeight="397">
                <wp:simplePos x="0" y="0"/>
                <wp:positionH relativeFrom="column">
                  <wp:align>left</wp:align>
                </wp:positionH>
                <wp:positionV relativeFrom="line">
                  <wp:align>top</wp:align>
                </wp:positionV>
                <wp:extent cx="127000" cy="350520"/>
                <wp:effectExtent l="0" t="0" r="0" b="0"/>
                <wp:wrapSquare wrapText="right"/>
                <wp:docPr id="405"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8.8pt;mso-wrap-distance-bottom:0pt;margin-top:8.8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In addition to these standard award agreement vesting terms, special equity vesting terms apply to Mr. Anderson under his May 31, 2024 offer letter (the “Offer Letter”) and to the other NEOs under their Participation Agreements entered under the Company’s Revised Executive Severance Plan (the “Executive Severance Plan”). Under Mr. Anderson’s Offer Letter and the Participation Agreements under the Executive Severance Plan, if an executive’s employment is terminated by the Company without Cause or by the executive for Good Reason, outstanding equity awards will receive additional vesting based on whether the termination occurs during a CIC Period (defined as the period beginning 6 months before and ending 18 months after a Change in Control), as follows: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5" w:before="176"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i w:val="false"/>
          <w:caps w:val="false"/>
          <w:smallCaps w:val="false"/>
          <w:color w:val="000000"/>
          <w:spacing w:val="0"/>
          <w:sz w:val="19"/>
          <w:shd w:fill="FFFFFF" w:val="clear"/>
        </w:rPr>
        <w:t>Termination Not During a CIC Period</w:t>
      </w:r>
      <w:r>
        <w:rPr>
          <w:rFonts w:ascii="Arial;Helvetica;sans-serif" w:hAnsi="Arial;Helvetica;sans-serif"/>
          <w:b w:val="false"/>
          <w:i w:val="false"/>
          <w:caps w:val="false"/>
          <w:smallCaps w:val="false"/>
          <w:color w:val="000000"/>
          <w:spacing w:val="-1"/>
          <w:sz w:val="19"/>
          <w:shd w:fill="FFFFFF" w:val="clear"/>
        </w:rPr>
        <w:t xml:space="preserve">: All outstanding, unvested equity awards with a vesting date within 12 months after the date of termination will fully vest and, if applicable, will remain exercisable for the period set forth in the applicable award agreement. In addition, any vesting tranche of such equity awards that began during employment or during the first 12 months after the date of termination but was not completed by the first anniversary of the date of termination, will </w:t>
      </w:r>
      <w:r>
        <mc:AlternateContent>
          <mc:Choice Requires="wps">
            <w:drawing>
              <wp:anchor behindDoc="0" distT="111760" distB="0" distL="76200" distR="0" simplePos="0" locked="0" layoutInCell="1" allowOverlap="1" relativeHeight="398">
                <wp:simplePos x="0" y="0"/>
                <wp:positionH relativeFrom="column">
                  <wp:align>left</wp:align>
                </wp:positionH>
                <wp:positionV relativeFrom="line">
                  <wp:align>top</wp:align>
                </wp:positionV>
                <wp:extent cx="127000" cy="350520"/>
                <wp:effectExtent l="0" t="0" r="0" b="0"/>
                <wp:wrapSquare wrapText="right"/>
                <wp:docPr id="406"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8.8pt;mso-wrap-distance-bottom:0pt;margin-top:8.8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68</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20" w:after="283"/>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vest on a pro-rata basis. The payout for any PSUs will be based on actual performance during the entire performance period and then pro-rated (taking into account the additional 12 months following termination), except that for inducement PSUs under Mr. Anderson’s Offer Letter, performance will be determined on the date of termination and the payout will be the greater of target or actual performance.</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5" w:before="170"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i w:val="false"/>
          <w:caps w:val="false"/>
          <w:smallCaps w:val="false"/>
          <w:color w:val="000000"/>
          <w:spacing w:val="0"/>
          <w:sz w:val="19"/>
          <w:shd w:fill="FFFFFF" w:val="clear"/>
        </w:rPr>
        <w:t>Termination During a CIC Period</w:t>
      </w:r>
      <w:r>
        <w:rPr>
          <w:rFonts w:ascii="Arial;Helvetica;sans-serif" w:hAnsi="Arial;Helvetica;sans-serif"/>
          <w:b w:val="false"/>
          <w:i w:val="false"/>
          <w:caps w:val="false"/>
          <w:smallCaps w:val="false"/>
          <w:color w:val="000000"/>
          <w:spacing w:val="-1"/>
          <w:sz w:val="19"/>
          <w:shd w:fill="FFFFFF" w:val="clear"/>
        </w:rPr>
        <w:t>: If the termination occurs during a CIC Period, all outstanding, unvested equity awards will become fully vested and, if applicable, will remain exercisable for the period set forth in the applicable award agreement. In the case of any PSUs, vesting will be based on the greater of (i) an assumed achievement of all relevant performance goals at the “target level” and (ii) the actual level of achievement of all relevant performance goals against target measured for the period from the beginning of the relevant performance period through, for Mr. Anderson, the date immediately preceding the Change in Control, and for other NEO’s, the Company’s fiscal quarter end immediately preceding the Change in Control.</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07950" distB="0" distL="76200" distR="0" simplePos="0" locked="0" layoutInCell="1" allowOverlap="1" relativeHeight="399">
                <wp:simplePos x="0" y="0"/>
                <wp:positionH relativeFrom="column">
                  <wp:align>left</wp:align>
                </wp:positionH>
                <wp:positionV relativeFrom="line">
                  <wp:align>top</wp:align>
                </wp:positionV>
                <wp:extent cx="127000" cy="350520"/>
                <wp:effectExtent l="0" t="0" r="0" b="0"/>
                <wp:wrapSquare wrapText="right"/>
                <wp:docPr id="407"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8.5pt;mso-wrap-distance-bottom:0pt;margin-top:8.5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Receipt of additional equity vesting under Mr. Anderson’s Offer Letter and under the Participation Agreements under the Executive Severance Plan are subject to certain conditions, including that the executive provide the Company with a release of claims and comply with applicable post-employment covenants, which include protection of confidential Company information, assignment of inventions, non-competition, and non-solicitation of customers and employees.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following table sets forth the value of each NEO’s accelerated RSUs and PSUs in the event of a termination of employment and/or Change in Control, as if such termination of employment and/or Change in Control had occurred on June 30, 2026, the last day of our fiscal year 2026. The value of the equity awards are based on the closing market price of our Common Stock on June 30, 2026, the last trading day of the fiscal year, which was $394.47 per share.</w:t>
      </w:r>
      <w:r>
        <w:rPr>
          <w:rFonts w:ascii="Arial;Helvetica;sans-serif" w:hAnsi="Arial;Helvetica;sans-serif"/>
          <w:b w:val="false"/>
          <w:i w:val="false"/>
          <w:caps w:val="false"/>
          <w:smallCaps w:val="false"/>
          <w:color w:val="000000"/>
          <w:spacing w:val="4"/>
          <w:sz w:val="19"/>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1350"/>
        <w:gridCol w:w="109"/>
        <w:gridCol w:w="109"/>
        <w:gridCol w:w="2692"/>
        <w:gridCol w:w="109"/>
        <w:gridCol w:w="109"/>
        <w:gridCol w:w="1326"/>
        <w:gridCol w:w="109"/>
        <w:gridCol w:w="109"/>
        <w:gridCol w:w="1442"/>
        <w:gridCol w:w="109"/>
        <w:gridCol w:w="109"/>
        <w:gridCol w:w="1309"/>
        <w:gridCol w:w="157"/>
      </w:tblGrid>
      <w:tr>
        <w:trPr/>
        <w:tc>
          <w:tcPr>
            <w:tcW w:w="124" w:type="dxa"/>
            <w:tcBorders/>
            <w:shd w:fill="000000" w:val="clear"/>
            <w:vAlign w:val="center"/>
          </w:tcPr>
          <w:p>
            <w:pPr>
              <w:pStyle w:val="TableContents"/>
              <w:bidi w:val="0"/>
              <w:spacing w:before="0" w:after="283"/>
              <w:jc w:val="left"/>
              <w:rPr/>
            </w:pPr>
            <w:r>
              <w:rPr/>
              <w:t>​</w:t>
            </w:r>
          </w:p>
        </w:tc>
        <w:tc>
          <w:tcPr>
            <w:tcW w:w="1350" w:type="dxa"/>
            <w:tcBorders/>
            <w:shd w:fill="000000" w:val="clear"/>
            <w:vAlign w:val="center"/>
          </w:tcPr>
          <w:p>
            <w:pPr>
              <w:pStyle w:val="TableContents"/>
              <w:bidi w:val="0"/>
              <w:spacing w:before="0" w:after="0"/>
              <w:jc w:val="left"/>
              <w:rPr/>
            </w:pPr>
            <w:r>
              <w:rPr/>
              <w:t xml:space="preserve">NEO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692" w:type="dxa"/>
            <w:tcBorders/>
            <w:shd w:fill="000000" w:val="clear"/>
            <w:vAlign w:val="center"/>
          </w:tcPr>
          <w:p>
            <w:pPr>
              <w:pStyle w:val="TableContents"/>
              <w:bidi w:val="0"/>
              <w:spacing w:before="0" w:after="0"/>
              <w:jc w:val="left"/>
              <w:rPr/>
            </w:pPr>
            <w:r>
              <w:rPr/>
              <w:t xml:space="preserve">Triggering Event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26" w:type="dxa"/>
            <w:tcBorders/>
            <w:shd w:fill="000000" w:val="clear"/>
            <w:vAlign w:val="center"/>
          </w:tcPr>
          <w:p>
            <w:pPr>
              <w:pStyle w:val="TableContents"/>
              <w:bidi w:val="0"/>
              <w:spacing w:before="0" w:after="0"/>
              <w:jc w:val="center"/>
              <w:rPr/>
            </w:pPr>
            <w:r>
              <w:rPr/>
              <w:t>Accelerated</w:t>
              <w:br/>
              <w:t>Restricted Stock</w:t>
              <w:br/>
              <w:t>Units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42" w:type="dxa"/>
            <w:tcBorders/>
            <w:shd w:fill="000000" w:val="clear"/>
            <w:vAlign w:val="center"/>
          </w:tcPr>
          <w:p>
            <w:pPr>
              <w:pStyle w:val="TableContents"/>
              <w:bidi w:val="0"/>
              <w:spacing w:lineRule="atLeast" w:line="142" w:before="0" w:after="0"/>
              <w:jc w:val="center"/>
              <w:rPr/>
            </w:pPr>
            <w:r>
              <w:rPr/>
              <w:t>Accelerated</w:t>
              <w:br/>
              <w:t>Performance Stock</w:t>
              <w:br/>
              <w:t>Units</w:t>
              <w:br/>
              <w:t>($)</w:t>
            </w:r>
            <w:r>
              <w:rPr>
                <w:sz w:val="10"/>
              </w:rPr>
              <w:t>1</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09" w:type="dxa"/>
            <w:tcBorders/>
            <w:shd w:fill="000000" w:val="clear"/>
            <w:vAlign w:val="center"/>
          </w:tcPr>
          <w:p>
            <w:pPr>
              <w:pStyle w:val="TableContents"/>
              <w:bidi w:val="0"/>
              <w:spacing w:before="0" w:after="0"/>
              <w:jc w:val="center"/>
              <w:rPr/>
            </w:pPr>
            <w:r>
              <w:rPr/>
              <w:t>Total</w:t>
              <w:br/>
              <w:t xml:space="preserve">($) </w:t>
            </w:r>
          </w:p>
        </w:tc>
        <w:tc>
          <w:tcPr>
            <w:tcW w:w="157" w:type="dxa"/>
            <w:tcBorders/>
            <w:shd w:fill="000000" w:val="clear"/>
            <w:vAlign w:val="center"/>
          </w:tcPr>
          <w:p>
            <w:pPr>
              <w:pStyle w:val="TableContents"/>
              <w:bidi w:val="0"/>
              <w:spacing w:before="0" w:after="283"/>
              <w:jc w:val="left"/>
              <w:rPr/>
            </w:pPr>
            <w:r>
              <w:rPr/>
              <w:t>​</w:t>
            </w:r>
          </w:p>
        </w:tc>
      </w:tr>
      <w:tr>
        <w:trPr/>
        <w:tc>
          <w:tcPr>
            <w:tcW w:w="124"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350" w:type="dxa"/>
            <w:vMerge w:val="restart"/>
            <w:tcBorders>
              <w:bottom w:val="single" w:sz="2" w:space="0" w:color="666666"/>
            </w:tcBorders>
            <w:tcMar>
              <w:bottom w:w="58" w:type="dxa"/>
            </w:tcMar>
            <w:vAlign w:val="center"/>
          </w:tcPr>
          <w:p>
            <w:pPr>
              <w:pStyle w:val="TableContents"/>
              <w:bidi w:val="0"/>
              <w:spacing w:lineRule="atLeast" w:line="255" w:before="0" w:after="0"/>
              <w:jc w:val="left"/>
              <w:rPr>
                <w:b/>
                <w:spacing w:val="0"/>
              </w:rPr>
            </w:pPr>
            <w:r>
              <w:rPr>
                <w:b/>
                <w:spacing w:val="0"/>
              </w:rPr>
              <w:t xml:space="preserve">James R. Anderson </w:t>
            </w:r>
          </w:p>
        </w:tc>
        <w:tc>
          <w:tcPr>
            <w:tcW w:w="109"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692" w:type="dxa"/>
            <w:tcBorders>
              <w:bottom w:val="single" w:sz="2" w:space="0" w:color="666666"/>
            </w:tcBorders>
            <w:tcMar>
              <w:bottom w:w="58" w:type="dxa"/>
            </w:tcMar>
            <w:vAlign w:val="center"/>
          </w:tcPr>
          <w:p>
            <w:pPr>
              <w:pStyle w:val="TableContents"/>
              <w:bidi w:val="0"/>
              <w:spacing w:lineRule="atLeast" w:line="255" w:before="0" w:after="0"/>
              <w:jc w:val="left"/>
              <w:rPr>
                <w:spacing w:val="-1"/>
              </w:rPr>
            </w:pPr>
            <w:r>
              <w:rPr>
                <w:spacing w:val="-1"/>
              </w:rPr>
              <w:t xml:space="preserve">Death/Disability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26" w:type="dxa"/>
            <w:tcBorders>
              <w:bottom w:val="single" w:sz="2" w:space="0" w:color="666666"/>
            </w:tcBorders>
            <w:tcMar>
              <w:bottom w:w="58" w:type="dxa"/>
            </w:tcMar>
            <w:vAlign w:val="center"/>
          </w:tcPr>
          <w:p>
            <w:pPr>
              <w:pStyle w:val="TableContents"/>
              <w:bidi w:val="0"/>
              <w:spacing w:lineRule="atLeast" w:line="255" w:before="0" w:after="0"/>
              <w:jc w:val="center"/>
              <w:rPr>
                <w:spacing w:val="-1"/>
              </w:rPr>
            </w:pPr>
            <w:r>
              <w:rPr>
                <w:spacing w:val="-1"/>
              </w:rPr>
              <w:t xml:space="preserve">46,233,856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42" w:type="dxa"/>
            <w:tcBorders>
              <w:bottom w:val="single" w:sz="2" w:space="0" w:color="666666"/>
            </w:tcBorders>
            <w:tcMar>
              <w:bottom w:w="58" w:type="dxa"/>
            </w:tcMar>
            <w:vAlign w:val="center"/>
          </w:tcPr>
          <w:p>
            <w:pPr>
              <w:pStyle w:val="TableContents"/>
              <w:bidi w:val="0"/>
              <w:spacing w:lineRule="atLeast" w:line="255" w:before="0" w:after="0"/>
              <w:jc w:val="center"/>
              <w:rPr>
                <w:spacing w:val="-1"/>
              </w:rPr>
            </w:pPr>
            <w:r>
              <w:rPr>
                <w:spacing w:val="-1"/>
              </w:rPr>
              <w:t xml:space="preserve">198,414,458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09" w:type="dxa"/>
            <w:tcBorders>
              <w:bottom w:val="single" w:sz="2" w:space="0" w:color="666666"/>
            </w:tcBorders>
            <w:tcMar>
              <w:bottom w:w="58" w:type="dxa"/>
            </w:tcMar>
            <w:vAlign w:val="center"/>
          </w:tcPr>
          <w:p>
            <w:pPr>
              <w:pStyle w:val="TableContents"/>
              <w:bidi w:val="0"/>
              <w:spacing w:lineRule="atLeast" w:line="255" w:before="0" w:after="0"/>
              <w:jc w:val="center"/>
              <w:rPr>
                <w:spacing w:val="-1"/>
              </w:rPr>
            </w:pPr>
            <w:r>
              <w:rPr>
                <w:spacing w:val="-1"/>
              </w:rPr>
              <w:t xml:space="preserve">244,648,314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350"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692" w:type="dxa"/>
            <w:tcBorders>
              <w:bottom w:val="single" w:sz="2" w:space="0" w:color="666666"/>
            </w:tcBorders>
            <w:tcMar>
              <w:bottom w:w="58" w:type="dxa"/>
            </w:tcMar>
            <w:vAlign w:val="center"/>
          </w:tcPr>
          <w:p>
            <w:pPr>
              <w:pStyle w:val="TableContents"/>
              <w:bidi w:val="0"/>
              <w:spacing w:before="0" w:after="283"/>
              <w:jc w:val="left"/>
              <w:rPr/>
            </w:pPr>
            <w:r>
              <w:rPr>
                <w:spacing w:val="-1"/>
              </w:rPr>
              <w:t>Retirement</w:t>
            </w:r>
            <w:r>
              <w:rPr>
                <w:spacing w:val="-1"/>
                <w:sz w:val="12"/>
              </w:rPr>
              <w:t>2</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26"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42"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09"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350"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692" w:type="dxa"/>
            <w:tcBorders>
              <w:bottom w:val="single" w:sz="2" w:space="0" w:color="666666"/>
            </w:tcBorders>
            <w:tcMar>
              <w:bottom w:w="58" w:type="dxa"/>
            </w:tcMar>
            <w:vAlign w:val="center"/>
          </w:tcPr>
          <w:p>
            <w:pPr>
              <w:pStyle w:val="TableContents"/>
              <w:bidi w:val="0"/>
              <w:spacing w:before="0" w:after="283"/>
              <w:jc w:val="left"/>
              <w:rPr>
                <w:spacing w:val="-1"/>
              </w:rPr>
            </w:pPr>
            <w:r>
              <w:rPr>
                <w:spacing w:val="-1"/>
              </w:rPr>
              <w:t xml:space="preserve">Voluntary Termination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26"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42"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09"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350"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692" w:type="dxa"/>
            <w:tcBorders>
              <w:bottom w:val="single" w:sz="2" w:space="0" w:color="666666"/>
            </w:tcBorders>
            <w:tcMar>
              <w:bottom w:w="58" w:type="dxa"/>
            </w:tcMar>
            <w:vAlign w:val="center"/>
          </w:tcPr>
          <w:p>
            <w:pPr>
              <w:pStyle w:val="TableContents"/>
              <w:bidi w:val="0"/>
              <w:spacing w:before="0" w:after="283"/>
              <w:jc w:val="left"/>
              <w:rPr>
                <w:spacing w:val="-1"/>
              </w:rPr>
            </w:pPr>
            <w:r>
              <w:rPr>
                <w:spacing w:val="-1"/>
              </w:rPr>
              <w:t xml:space="preserve">Termination with Cause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26"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42"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09"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350"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692" w:type="dxa"/>
            <w:tcBorders>
              <w:bottom w:val="single" w:sz="2" w:space="0" w:color="666666"/>
            </w:tcBorders>
            <w:tcMar>
              <w:bottom w:w="34" w:type="dxa"/>
            </w:tcMar>
            <w:vAlign w:val="center"/>
          </w:tcPr>
          <w:p>
            <w:pPr>
              <w:pStyle w:val="TableContents"/>
              <w:bidi w:val="0"/>
              <w:spacing w:before="0" w:after="283"/>
              <w:jc w:val="left"/>
              <w:rPr>
                <w:spacing w:val="-1"/>
              </w:rPr>
            </w:pPr>
            <w:r>
              <w:rPr>
                <w:spacing w:val="-1"/>
              </w:rPr>
              <w:t xml:space="preserve">Termination Without Cause or for Good Reason (no change in control)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26"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46,233,856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42"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198,414,458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09"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244,648,314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350"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692" w:type="dxa"/>
            <w:tcBorders>
              <w:bottom w:val="single" w:sz="2" w:space="0" w:color="666666"/>
            </w:tcBorders>
            <w:tcMar>
              <w:bottom w:w="34" w:type="dxa"/>
            </w:tcMar>
            <w:vAlign w:val="center"/>
          </w:tcPr>
          <w:p>
            <w:pPr>
              <w:pStyle w:val="TableContents"/>
              <w:bidi w:val="0"/>
              <w:spacing w:before="0" w:after="283"/>
              <w:jc w:val="left"/>
              <w:rPr>
                <w:spacing w:val="-1"/>
              </w:rPr>
            </w:pPr>
            <w:r>
              <w:rPr>
                <w:spacing w:val="-1"/>
              </w:rPr>
              <w:t xml:space="preserve">Termination Without Cause or for Good Reason (change in control)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26"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46,233,856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42"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314,079,381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09"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360,313,237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350"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692" w:type="dxa"/>
            <w:tcBorders>
              <w:bottom w:val="single" w:sz="2" w:space="0" w:color="666666"/>
            </w:tcBorders>
            <w:tcMar>
              <w:bottom w:w="34" w:type="dxa"/>
            </w:tcMar>
            <w:vAlign w:val="center"/>
          </w:tcPr>
          <w:p>
            <w:pPr>
              <w:pStyle w:val="TableContents"/>
              <w:bidi w:val="0"/>
              <w:spacing w:before="0" w:after="283"/>
              <w:jc w:val="left"/>
              <w:rPr/>
            </w:pPr>
            <w:r>
              <w:rPr>
                <w:spacing w:val="-1"/>
              </w:rPr>
              <w:t>Change in Control Only (continued employment)</w:t>
            </w:r>
            <w:r>
              <w:rPr>
                <w:spacing w:val="-1"/>
                <w:szCs w:val="12"/>
              </w:rPr>
              <w:t>﻿</w:t>
            </w:r>
            <w:r>
              <w:rPr>
                <w:spacing w:val="-1"/>
                <w:sz w:val="12"/>
              </w:rPr>
              <w:t>3</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26" w:type="dxa"/>
            <w:tcBorders>
              <w:bottom w:val="single" w:sz="2" w:space="0" w:color="666666"/>
            </w:tcBorders>
            <w:tcMar>
              <w:bottom w:w="34"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42" w:type="dxa"/>
            <w:tcBorders>
              <w:bottom w:val="single" w:sz="2" w:space="0" w:color="666666"/>
            </w:tcBorders>
            <w:tcMar>
              <w:bottom w:w="34"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09" w:type="dxa"/>
            <w:tcBorders>
              <w:bottom w:val="single" w:sz="2" w:space="0" w:color="666666"/>
            </w:tcBorders>
            <w:tcMar>
              <w:bottom w:w="34" w:type="dxa"/>
            </w:tcMar>
            <w:vAlign w:val="center"/>
          </w:tcPr>
          <w:p>
            <w:pPr>
              <w:pStyle w:val="TableContents"/>
              <w:bidi w:val="0"/>
              <w:spacing w:before="0" w:after="0"/>
              <w:jc w:val="center"/>
              <w:rPr/>
            </w:pPr>
            <w:r>
              <w:rPr>
                <w:spacing w:val="-1"/>
              </w:rPr>
              <w:t>—</w:t>
            </w:r>
            <w:r>
              <w:rPr/>
              <w:t xml:space="preserve">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350"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692" w:type="dxa"/>
            <w:tcBorders>
              <w:bottom w:val="single" w:sz="2" w:space="0" w:color="666666"/>
            </w:tcBorders>
            <w:tcMar>
              <w:bottom w:w="34" w:type="dxa"/>
            </w:tcMar>
            <w:vAlign w:val="center"/>
          </w:tcPr>
          <w:p>
            <w:pPr>
              <w:pStyle w:val="TableContents"/>
              <w:bidi w:val="0"/>
              <w:spacing w:before="0" w:after="283"/>
              <w:jc w:val="left"/>
              <w:rPr/>
            </w:pPr>
            <w:r>
              <w:rPr>
                <w:spacing w:val="-1"/>
              </w:rPr>
              <w:t>Change in Control Only/Equity Awards not Assumed/Converted/Replaced</w:t>
            </w:r>
            <w:r>
              <w:rPr>
                <w:spacing w:val="-1"/>
                <w:szCs w:val="12"/>
              </w:rPr>
              <w:t>﻿</w:t>
            </w:r>
            <w:r>
              <w:rPr>
                <w:spacing w:val="-1"/>
                <w:sz w:val="12"/>
              </w:rPr>
              <w:t>4</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26"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46,233,856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42"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314,079,381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09"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360,313,237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350" w:type="dxa"/>
            <w:vMerge w:val="restart"/>
            <w:tcBorders>
              <w:bottom w:val="single" w:sz="2" w:space="0" w:color="666666"/>
            </w:tcBorders>
            <w:tcMar>
              <w:bottom w:w="58" w:type="dxa"/>
            </w:tcMar>
            <w:vAlign w:val="center"/>
          </w:tcPr>
          <w:p>
            <w:pPr>
              <w:pStyle w:val="TableContents"/>
              <w:bidi w:val="0"/>
              <w:spacing w:lineRule="atLeast" w:line="255" w:before="0" w:after="0"/>
              <w:jc w:val="left"/>
              <w:rPr>
                <w:b/>
                <w:spacing w:val="0"/>
              </w:rPr>
            </w:pPr>
            <w:r>
              <w:rPr>
                <w:b/>
                <w:spacing w:val="0"/>
              </w:rPr>
              <w:t xml:space="preserve">Sherri Luther </w:t>
            </w:r>
          </w:p>
        </w:tc>
        <w:tc>
          <w:tcPr>
            <w:tcW w:w="109"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692" w:type="dxa"/>
            <w:tcBorders>
              <w:bottom w:val="single" w:sz="2" w:space="0" w:color="666666"/>
            </w:tcBorders>
            <w:tcMar>
              <w:bottom w:w="58" w:type="dxa"/>
            </w:tcMar>
            <w:vAlign w:val="center"/>
          </w:tcPr>
          <w:p>
            <w:pPr>
              <w:pStyle w:val="TableContents"/>
              <w:bidi w:val="0"/>
              <w:spacing w:lineRule="atLeast" w:line="255" w:before="0" w:after="0"/>
              <w:jc w:val="left"/>
              <w:rPr/>
            </w:pPr>
            <w:r>
              <w:rPr>
                <w:spacing w:val="-1"/>
              </w:rPr>
              <w:t>Death/Disability</w:t>
            </w:r>
            <w:r>
              <w:rPr>
                <w:spacing w:val="-1"/>
                <w:sz w:val="12"/>
              </w:rPr>
              <w:t>1</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26" w:type="dxa"/>
            <w:tcBorders>
              <w:bottom w:val="single" w:sz="2" w:space="0" w:color="666666"/>
            </w:tcBorders>
            <w:tcMar>
              <w:bottom w:w="58" w:type="dxa"/>
            </w:tcMar>
            <w:vAlign w:val="center"/>
          </w:tcPr>
          <w:p>
            <w:pPr>
              <w:pStyle w:val="TableContents"/>
              <w:bidi w:val="0"/>
              <w:spacing w:lineRule="atLeast" w:line="255" w:before="0" w:after="0"/>
              <w:jc w:val="center"/>
              <w:rPr>
                <w:spacing w:val="-1"/>
              </w:rPr>
            </w:pPr>
            <w:r>
              <w:rPr>
                <w:spacing w:val="-1"/>
              </w:rPr>
              <w:t xml:space="preserve">22,828,373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42" w:type="dxa"/>
            <w:tcBorders>
              <w:bottom w:val="single" w:sz="2" w:space="0" w:color="666666"/>
            </w:tcBorders>
            <w:tcMar>
              <w:bottom w:w="58" w:type="dxa"/>
            </w:tcMar>
            <w:vAlign w:val="center"/>
          </w:tcPr>
          <w:p>
            <w:pPr>
              <w:pStyle w:val="TableContents"/>
              <w:bidi w:val="0"/>
              <w:spacing w:lineRule="atLeast" w:line="255" w:before="0" w:after="0"/>
              <w:jc w:val="center"/>
              <w:rPr>
                <w:spacing w:val="-1"/>
              </w:rPr>
            </w:pPr>
            <w:r>
              <w:rPr>
                <w:spacing w:val="-1"/>
              </w:rPr>
              <w:t xml:space="preserve">32,862,339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09" w:type="dxa"/>
            <w:tcBorders>
              <w:bottom w:val="single" w:sz="2" w:space="0" w:color="666666"/>
            </w:tcBorders>
            <w:tcMar>
              <w:bottom w:w="58" w:type="dxa"/>
            </w:tcMar>
            <w:vAlign w:val="center"/>
          </w:tcPr>
          <w:p>
            <w:pPr>
              <w:pStyle w:val="TableContents"/>
              <w:bidi w:val="0"/>
              <w:spacing w:lineRule="atLeast" w:line="255" w:before="0" w:after="0"/>
              <w:jc w:val="center"/>
              <w:rPr>
                <w:spacing w:val="-1"/>
              </w:rPr>
            </w:pPr>
            <w:r>
              <w:rPr>
                <w:spacing w:val="-1"/>
              </w:rPr>
              <w:t xml:space="preserve">55,690,712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350"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692" w:type="dxa"/>
            <w:tcBorders>
              <w:bottom w:val="single" w:sz="2" w:space="0" w:color="666666"/>
            </w:tcBorders>
            <w:tcMar>
              <w:bottom w:w="58" w:type="dxa"/>
            </w:tcMar>
            <w:vAlign w:val="center"/>
          </w:tcPr>
          <w:p>
            <w:pPr>
              <w:pStyle w:val="TableContents"/>
              <w:bidi w:val="0"/>
              <w:spacing w:before="0" w:after="283"/>
              <w:jc w:val="left"/>
              <w:rPr/>
            </w:pPr>
            <w:r>
              <w:rPr>
                <w:spacing w:val="-1"/>
              </w:rPr>
              <w:t>Retirement</w:t>
            </w:r>
            <w:r>
              <w:rPr>
                <w:spacing w:val="-1"/>
                <w:sz w:val="12"/>
              </w:rPr>
              <w:t>2</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26"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42"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09"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350"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692" w:type="dxa"/>
            <w:tcBorders>
              <w:bottom w:val="single" w:sz="2" w:space="0" w:color="666666"/>
            </w:tcBorders>
            <w:tcMar>
              <w:bottom w:w="58" w:type="dxa"/>
            </w:tcMar>
            <w:vAlign w:val="center"/>
          </w:tcPr>
          <w:p>
            <w:pPr>
              <w:pStyle w:val="TableContents"/>
              <w:bidi w:val="0"/>
              <w:spacing w:before="0" w:after="283"/>
              <w:jc w:val="left"/>
              <w:rPr>
                <w:spacing w:val="-1"/>
              </w:rPr>
            </w:pPr>
            <w:r>
              <w:rPr>
                <w:spacing w:val="-1"/>
              </w:rPr>
              <w:t xml:space="preserve">Voluntary Termination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26"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42"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09"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350"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692" w:type="dxa"/>
            <w:tcBorders>
              <w:bottom w:val="single" w:sz="2" w:space="0" w:color="666666"/>
            </w:tcBorders>
            <w:tcMar>
              <w:bottom w:w="58" w:type="dxa"/>
            </w:tcMar>
            <w:vAlign w:val="center"/>
          </w:tcPr>
          <w:p>
            <w:pPr>
              <w:pStyle w:val="TableContents"/>
              <w:bidi w:val="0"/>
              <w:spacing w:before="0" w:after="283"/>
              <w:jc w:val="left"/>
              <w:rPr>
                <w:spacing w:val="-1"/>
              </w:rPr>
            </w:pPr>
            <w:r>
              <w:rPr>
                <w:spacing w:val="-1"/>
              </w:rPr>
              <w:t xml:space="preserve">Termination with Cause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26"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42"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09"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350"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692" w:type="dxa"/>
            <w:tcBorders>
              <w:bottom w:val="single" w:sz="2" w:space="0" w:color="666666"/>
            </w:tcBorders>
            <w:tcMar>
              <w:bottom w:w="34" w:type="dxa"/>
            </w:tcMar>
            <w:vAlign w:val="center"/>
          </w:tcPr>
          <w:p>
            <w:pPr>
              <w:pStyle w:val="TableContents"/>
              <w:bidi w:val="0"/>
              <w:spacing w:before="0" w:after="283"/>
              <w:jc w:val="left"/>
              <w:rPr>
                <w:spacing w:val="-1"/>
              </w:rPr>
            </w:pPr>
            <w:r>
              <w:rPr>
                <w:spacing w:val="-1"/>
              </w:rPr>
              <w:t xml:space="preserve">Termination Without Cause or for Good Reason (no change in control)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26"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22,828,373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42"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32,862,339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09"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55,690,712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350"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692" w:type="dxa"/>
            <w:tcBorders>
              <w:bottom w:val="single" w:sz="2" w:space="0" w:color="666666"/>
            </w:tcBorders>
            <w:tcMar>
              <w:bottom w:w="34" w:type="dxa"/>
            </w:tcMar>
            <w:vAlign w:val="center"/>
          </w:tcPr>
          <w:p>
            <w:pPr>
              <w:pStyle w:val="TableContents"/>
              <w:bidi w:val="0"/>
              <w:spacing w:before="0" w:after="283"/>
              <w:jc w:val="left"/>
              <w:rPr>
                <w:spacing w:val="-1"/>
              </w:rPr>
            </w:pPr>
            <w:r>
              <w:rPr>
                <w:spacing w:val="-1"/>
              </w:rPr>
              <w:t xml:space="preserve">Termination Without Cause or for Good Reason (change in control)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26"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22,828,373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42"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56,062,076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09"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78,890,449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350"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692" w:type="dxa"/>
            <w:tcBorders>
              <w:bottom w:val="single" w:sz="2" w:space="0" w:color="666666"/>
            </w:tcBorders>
            <w:tcMar>
              <w:bottom w:w="34" w:type="dxa"/>
            </w:tcMar>
            <w:vAlign w:val="center"/>
          </w:tcPr>
          <w:p>
            <w:pPr>
              <w:pStyle w:val="TableContents"/>
              <w:bidi w:val="0"/>
              <w:spacing w:before="0" w:after="283"/>
              <w:jc w:val="left"/>
              <w:rPr/>
            </w:pPr>
            <w:r>
              <w:rPr>
                <w:spacing w:val="-1"/>
              </w:rPr>
              <w:t>Change in Control Only (continued employment)</w:t>
            </w:r>
            <w:r>
              <w:rPr>
                <w:spacing w:val="-1"/>
                <w:szCs w:val="12"/>
              </w:rPr>
              <w:t>﻿</w:t>
            </w:r>
            <w:r>
              <w:rPr>
                <w:spacing w:val="-1"/>
                <w:sz w:val="12"/>
              </w:rPr>
              <w:t>3</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26" w:type="dxa"/>
            <w:tcBorders>
              <w:bottom w:val="single" w:sz="2" w:space="0" w:color="666666"/>
            </w:tcBorders>
            <w:tcMar>
              <w:bottom w:w="34"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42" w:type="dxa"/>
            <w:tcBorders>
              <w:bottom w:val="single" w:sz="2" w:space="0" w:color="666666"/>
            </w:tcBorders>
            <w:tcMar>
              <w:bottom w:w="34"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09" w:type="dxa"/>
            <w:tcBorders>
              <w:bottom w:val="single" w:sz="2" w:space="0" w:color="666666"/>
            </w:tcBorders>
            <w:tcMar>
              <w:bottom w:w="34" w:type="dxa"/>
            </w:tcMar>
            <w:vAlign w:val="center"/>
          </w:tcPr>
          <w:p>
            <w:pPr>
              <w:pStyle w:val="TableContents"/>
              <w:bidi w:val="0"/>
              <w:spacing w:before="0" w:after="0"/>
              <w:jc w:val="center"/>
              <w:rPr/>
            </w:pPr>
            <w:r>
              <w:rPr>
                <w:spacing w:val="-1"/>
              </w:rPr>
              <w:t>—</w:t>
            </w:r>
            <w:r>
              <w:rPr/>
              <w:t xml:space="preserve">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350"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692" w:type="dxa"/>
            <w:tcBorders>
              <w:bottom w:val="single" w:sz="2" w:space="0" w:color="666666"/>
            </w:tcBorders>
            <w:tcMar>
              <w:bottom w:w="34" w:type="dxa"/>
            </w:tcMar>
            <w:vAlign w:val="center"/>
          </w:tcPr>
          <w:p>
            <w:pPr>
              <w:pStyle w:val="TableContents"/>
              <w:bidi w:val="0"/>
              <w:spacing w:before="0" w:after="283"/>
              <w:jc w:val="left"/>
              <w:rPr/>
            </w:pPr>
            <w:r>
              <w:rPr>
                <w:spacing w:val="-1"/>
              </w:rPr>
              <w:t>Change in Control Only/Equity Awards not Assumed/Converted/Replaced</w:t>
            </w:r>
            <w:r>
              <w:rPr>
                <w:spacing w:val="-1"/>
                <w:szCs w:val="12"/>
              </w:rPr>
              <w:t>﻿</w:t>
            </w:r>
            <w:r>
              <w:rPr>
                <w:spacing w:val="-1"/>
                <w:sz w:val="12"/>
              </w:rPr>
              <w:t>4</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26"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22,828,373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42"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56,062,076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09"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78,890,449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69</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1005"/>
        <w:gridCol w:w="109"/>
        <w:gridCol w:w="109"/>
        <w:gridCol w:w="3085"/>
        <w:gridCol w:w="109"/>
        <w:gridCol w:w="109"/>
        <w:gridCol w:w="1354"/>
        <w:gridCol w:w="109"/>
        <w:gridCol w:w="109"/>
        <w:gridCol w:w="1482"/>
        <w:gridCol w:w="109"/>
        <w:gridCol w:w="109"/>
        <w:gridCol w:w="1194"/>
        <w:gridCol w:w="156"/>
      </w:tblGrid>
      <w:tr>
        <w:trPr/>
        <w:tc>
          <w:tcPr>
            <w:tcW w:w="124" w:type="dxa"/>
            <w:tcBorders/>
            <w:shd w:fill="000000" w:val="clear"/>
            <w:vAlign w:val="center"/>
          </w:tcPr>
          <w:p>
            <w:pPr>
              <w:pStyle w:val="TableContents"/>
              <w:bidi w:val="0"/>
              <w:spacing w:before="0" w:after="283"/>
              <w:jc w:val="left"/>
              <w:rPr/>
            </w:pPr>
            <w:r>
              <w:rPr/>
              <w:t>​</w:t>
            </w:r>
          </w:p>
        </w:tc>
        <w:tc>
          <w:tcPr>
            <w:tcW w:w="1005" w:type="dxa"/>
            <w:tcBorders/>
            <w:shd w:fill="000000" w:val="clear"/>
            <w:vAlign w:val="center"/>
          </w:tcPr>
          <w:p>
            <w:pPr>
              <w:pStyle w:val="TableContents"/>
              <w:bidi w:val="0"/>
              <w:spacing w:before="0" w:after="0"/>
              <w:jc w:val="left"/>
              <w:rPr/>
            </w:pPr>
            <w:r>
              <w:rPr/>
              <w:t xml:space="preserve">NEO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3085" w:type="dxa"/>
            <w:tcBorders/>
            <w:shd w:fill="000000" w:val="clear"/>
            <w:vAlign w:val="center"/>
          </w:tcPr>
          <w:p>
            <w:pPr>
              <w:pStyle w:val="TableContents"/>
              <w:bidi w:val="0"/>
              <w:spacing w:before="0" w:after="0"/>
              <w:jc w:val="left"/>
              <w:rPr/>
            </w:pPr>
            <w:r>
              <w:rPr/>
              <w:t xml:space="preserve">Triggering Event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54" w:type="dxa"/>
            <w:tcBorders/>
            <w:shd w:fill="000000" w:val="clear"/>
            <w:vAlign w:val="center"/>
          </w:tcPr>
          <w:p>
            <w:pPr>
              <w:pStyle w:val="TableContents"/>
              <w:bidi w:val="0"/>
              <w:spacing w:before="0" w:after="0"/>
              <w:jc w:val="center"/>
              <w:rPr/>
            </w:pPr>
            <w:r>
              <w:rPr/>
              <w:t>Accelerated</w:t>
              <w:br/>
              <w:t>Restricted Stock</w:t>
              <w:br/>
              <w:t>Units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82" w:type="dxa"/>
            <w:tcBorders/>
            <w:shd w:fill="000000" w:val="clear"/>
            <w:vAlign w:val="center"/>
          </w:tcPr>
          <w:p>
            <w:pPr>
              <w:pStyle w:val="TableContents"/>
              <w:bidi w:val="0"/>
              <w:spacing w:lineRule="atLeast" w:line="142" w:before="0" w:after="0"/>
              <w:jc w:val="center"/>
              <w:rPr/>
            </w:pPr>
            <w:r>
              <w:rPr/>
              <w:t>Accelerated</w:t>
              <w:br/>
              <w:t>Performance Stock</w:t>
              <w:br/>
              <w:t>Units</w:t>
              <w:br/>
              <w:t>($)</w:t>
            </w:r>
            <w:r>
              <w:rPr>
                <w:sz w:val="10"/>
              </w:rPr>
              <w:t>1</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94" w:type="dxa"/>
            <w:tcBorders/>
            <w:shd w:fill="000000" w:val="clear"/>
            <w:vAlign w:val="center"/>
          </w:tcPr>
          <w:p>
            <w:pPr>
              <w:pStyle w:val="TableContents"/>
              <w:bidi w:val="0"/>
              <w:spacing w:before="0" w:after="0"/>
              <w:jc w:val="center"/>
              <w:rPr/>
            </w:pPr>
            <w:r>
              <w:rPr/>
              <w:t>Total</w:t>
              <w:br/>
              <w:t xml:space="preserve">($) </w:t>
            </w:r>
          </w:p>
        </w:tc>
        <w:tc>
          <w:tcPr>
            <w:tcW w:w="156" w:type="dxa"/>
            <w:tcBorders/>
            <w:shd w:fill="000000" w:val="clear"/>
            <w:vAlign w:val="center"/>
          </w:tcPr>
          <w:p>
            <w:pPr>
              <w:pStyle w:val="TableContents"/>
              <w:bidi w:val="0"/>
              <w:spacing w:before="0" w:after="283"/>
              <w:jc w:val="left"/>
              <w:rPr/>
            </w:pPr>
            <w:r>
              <w:rPr/>
              <w:t>​</w:t>
            </w:r>
          </w:p>
        </w:tc>
      </w:tr>
      <w:tr>
        <w:trPr/>
        <w:tc>
          <w:tcPr>
            <w:tcW w:w="124"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005" w:type="dxa"/>
            <w:vMerge w:val="restart"/>
            <w:tcBorders>
              <w:bottom w:val="single" w:sz="2" w:space="0" w:color="666666"/>
            </w:tcBorders>
            <w:tcMar>
              <w:bottom w:w="58" w:type="dxa"/>
            </w:tcMar>
            <w:vAlign w:val="center"/>
          </w:tcPr>
          <w:p>
            <w:pPr>
              <w:pStyle w:val="TableContents"/>
              <w:bidi w:val="0"/>
              <w:spacing w:lineRule="atLeast" w:line="255" w:before="0" w:after="0"/>
              <w:jc w:val="left"/>
              <w:rPr>
                <w:b/>
                <w:spacing w:val="0"/>
              </w:rPr>
            </w:pPr>
            <w:r>
              <w:rPr>
                <w:b/>
                <w:spacing w:val="0"/>
              </w:rPr>
              <w:t xml:space="preserve">Rob Beard </w:t>
            </w:r>
          </w:p>
        </w:tc>
        <w:tc>
          <w:tcPr>
            <w:tcW w:w="109"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3085" w:type="dxa"/>
            <w:tcBorders>
              <w:bottom w:val="single" w:sz="2" w:space="0" w:color="666666"/>
            </w:tcBorders>
            <w:tcMar>
              <w:bottom w:w="58" w:type="dxa"/>
            </w:tcMar>
            <w:vAlign w:val="center"/>
          </w:tcPr>
          <w:p>
            <w:pPr>
              <w:pStyle w:val="TableContents"/>
              <w:bidi w:val="0"/>
              <w:spacing w:lineRule="atLeast" w:line="255" w:before="0" w:after="0"/>
              <w:jc w:val="left"/>
              <w:rPr/>
            </w:pPr>
            <w:r>
              <w:rPr>
                <w:spacing w:val="-1"/>
              </w:rPr>
              <w:t>Death/Disability</w:t>
            </w:r>
            <w:r>
              <w:rPr>
                <w:spacing w:val="-1"/>
                <w:sz w:val="12"/>
              </w:rPr>
              <w:t>1</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4" w:type="dxa"/>
            <w:tcBorders>
              <w:bottom w:val="single" w:sz="2" w:space="0" w:color="666666"/>
            </w:tcBorders>
            <w:tcMar>
              <w:bottom w:w="58" w:type="dxa"/>
            </w:tcMar>
            <w:vAlign w:val="center"/>
          </w:tcPr>
          <w:p>
            <w:pPr>
              <w:pStyle w:val="TableContents"/>
              <w:bidi w:val="0"/>
              <w:spacing w:lineRule="atLeast" w:line="255" w:before="0" w:after="0"/>
              <w:jc w:val="center"/>
              <w:rPr>
                <w:spacing w:val="-1"/>
              </w:rPr>
            </w:pPr>
            <w:r>
              <w:rPr>
                <w:spacing w:val="-1"/>
              </w:rPr>
              <w:t xml:space="preserve">15,980,769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82" w:type="dxa"/>
            <w:tcBorders>
              <w:bottom w:val="single" w:sz="2" w:space="0" w:color="666666"/>
            </w:tcBorders>
            <w:tcMar>
              <w:bottom w:w="58" w:type="dxa"/>
            </w:tcMar>
            <w:vAlign w:val="center"/>
          </w:tcPr>
          <w:p>
            <w:pPr>
              <w:pStyle w:val="TableContents"/>
              <w:bidi w:val="0"/>
              <w:spacing w:lineRule="atLeast" w:line="255" w:before="0" w:after="0"/>
              <w:jc w:val="center"/>
              <w:rPr>
                <w:spacing w:val="-1"/>
              </w:rPr>
            </w:pPr>
            <w:r>
              <w:rPr>
                <w:spacing w:val="-1"/>
              </w:rPr>
              <w:t xml:space="preserve">17,305,678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4" w:type="dxa"/>
            <w:tcBorders>
              <w:bottom w:val="single" w:sz="2" w:space="0" w:color="666666"/>
            </w:tcBorders>
            <w:tcMar>
              <w:bottom w:w="58" w:type="dxa"/>
            </w:tcMar>
            <w:vAlign w:val="center"/>
          </w:tcPr>
          <w:p>
            <w:pPr>
              <w:pStyle w:val="TableContents"/>
              <w:bidi w:val="0"/>
              <w:spacing w:lineRule="atLeast" w:line="255" w:before="0" w:after="0"/>
              <w:jc w:val="center"/>
              <w:rPr>
                <w:spacing w:val="-1"/>
              </w:rPr>
            </w:pPr>
            <w:r>
              <w:rPr>
                <w:spacing w:val="-1"/>
              </w:rPr>
              <w:t xml:space="preserve">33,286,447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005"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3085" w:type="dxa"/>
            <w:tcBorders>
              <w:bottom w:val="single" w:sz="2" w:space="0" w:color="666666"/>
            </w:tcBorders>
            <w:tcMar>
              <w:bottom w:w="58" w:type="dxa"/>
            </w:tcMar>
            <w:vAlign w:val="center"/>
          </w:tcPr>
          <w:p>
            <w:pPr>
              <w:pStyle w:val="TableContents"/>
              <w:bidi w:val="0"/>
              <w:spacing w:before="0" w:after="283"/>
              <w:jc w:val="left"/>
              <w:rPr>
                <w:spacing w:val="-1"/>
              </w:rPr>
            </w:pPr>
            <w:r>
              <w:rPr>
                <w:spacing w:val="-1"/>
              </w:rPr>
              <w:t xml:space="preserve">Retirement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4"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82"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4"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005"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3085" w:type="dxa"/>
            <w:tcBorders>
              <w:bottom w:val="single" w:sz="2" w:space="0" w:color="666666"/>
            </w:tcBorders>
            <w:tcMar>
              <w:bottom w:w="58" w:type="dxa"/>
            </w:tcMar>
            <w:vAlign w:val="center"/>
          </w:tcPr>
          <w:p>
            <w:pPr>
              <w:pStyle w:val="TableContents"/>
              <w:bidi w:val="0"/>
              <w:spacing w:before="0" w:after="283"/>
              <w:jc w:val="left"/>
              <w:rPr>
                <w:spacing w:val="-1"/>
              </w:rPr>
            </w:pPr>
            <w:r>
              <w:rPr>
                <w:spacing w:val="-1"/>
              </w:rPr>
              <w:t xml:space="preserve">Voluntary Termination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4"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82"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4"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005"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3085" w:type="dxa"/>
            <w:tcBorders>
              <w:bottom w:val="single" w:sz="2" w:space="0" w:color="666666"/>
            </w:tcBorders>
            <w:tcMar>
              <w:bottom w:w="58" w:type="dxa"/>
            </w:tcMar>
            <w:vAlign w:val="center"/>
          </w:tcPr>
          <w:p>
            <w:pPr>
              <w:pStyle w:val="TableContents"/>
              <w:bidi w:val="0"/>
              <w:spacing w:before="0" w:after="283"/>
              <w:jc w:val="left"/>
              <w:rPr>
                <w:spacing w:val="-1"/>
              </w:rPr>
            </w:pPr>
            <w:r>
              <w:rPr>
                <w:spacing w:val="-1"/>
              </w:rPr>
              <w:t xml:space="preserve">Termination with Cause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4"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82"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4"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005"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3085" w:type="dxa"/>
            <w:tcBorders>
              <w:bottom w:val="single" w:sz="2" w:space="0" w:color="666666"/>
            </w:tcBorders>
            <w:tcMar>
              <w:bottom w:w="34" w:type="dxa"/>
            </w:tcMar>
            <w:vAlign w:val="center"/>
          </w:tcPr>
          <w:p>
            <w:pPr>
              <w:pStyle w:val="TableContents"/>
              <w:bidi w:val="0"/>
              <w:spacing w:before="0" w:after="283"/>
              <w:jc w:val="left"/>
              <w:rPr>
                <w:spacing w:val="-1"/>
              </w:rPr>
            </w:pPr>
            <w:r>
              <w:rPr>
                <w:spacing w:val="-1"/>
              </w:rPr>
              <w:t xml:space="preserve">Termination Without Cause or for Good Reason (no change in control)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4"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15,980,769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82"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17,305,678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4"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33,286,447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005"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3085" w:type="dxa"/>
            <w:tcBorders>
              <w:bottom w:val="single" w:sz="2" w:space="0" w:color="666666"/>
            </w:tcBorders>
            <w:tcMar>
              <w:bottom w:w="34" w:type="dxa"/>
            </w:tcMar>
            <w:vAlign w:val="center"/>
          </w:tcPr>
          <w:p>
            <w:pPr>
              <w:pStyle w:val="TableContents"/>
              <w:bidi w:val="0"/>
              <w:spacing w:before="0" w:after="283"/>
              <w:jc w:val="left"/>
              <w:rPr>
                <w:spacing w:val="-1"/>
              </w:rPr>
            </w:pPr>
            <w:r>
              <w:rPr>
                <w:spacing w:val="-1"/>
              </w:rPr>
              <w:t xml:space="preserve">Termination Without Cause or for Good Reason (change in control)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4"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15,980,769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82"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31,679,886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4"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47,660,655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005"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3085" w:type="dxa"/>
            <w:tcBorders>
              <w:bottom w:val="single" w:sz="2" w:space="0" w:color="666666"/>
            </w:tcBorders>
            <w:tcMar>
              <w:bottom w:w="34" w:type="dxa"/>
            </w:tcMar>
            <w:vAlign w:val="center"/>
          </w:tcPr>
          <w:p>
            <w:pPr>
              <w:pStyle w:val="TableContents"/>
              <w:bidi w:val="0"/>
              <w:spacing w:before="0" w:after="283"/>
              <w:jc w:val="left"/>
              <w:rPr/>
            </w:pPr>
            <w:r>
              <w:rPr>
                <w:spacing w:val="-1"/>
              </w:rPr>
              <w:t>Change in Control Only (continued employment)</w:t>
            </w:r>
            <w:r>
              <w:rPr>
                <w:spacing w:val="-1"/>
                <w:szCs w:val="12"/>
              </w:rPr>
              <w:t>﻿</w:t>
            </w:r>
            <w:r>
              <w:rPr>
                <w:spacing w:val="-1"/>
                <w:sz w:val="12"/>
              </w:rPr>
              <w:t>3</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4" w:type="dxa"/>
            <w:tcBorders>
              <w:bottom w:val="single" w:sz="2" w:space="0" w:color="666666"/>
            </w:tcBorders>
            <w:tcMar>
              <w:bottom w:w="34"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82" w:type="dxa"/>
            <w:tcBorders>
              <w:bottom w:val="single" w:sz="2" w:space="0" w:color="666666"/>
            </w:tcBorders>
            <w:tcMar>
              <w:bottom w:w="34"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4" w:type="dxa"/>
            <w:tcBorders>
              <w:bottom w:val="single" w:sz="2" w:space="0" w:color="666666"/>
            </w:tcBorders>
            <w:tcMar>
              <w:bottom w:w="34" w:type="dxa"/>
            </w:tcMar>
            <w:vAlign w:val="center"/>
          </w:tcPr>
          <w:p>
            <w:pPr>
              <w:pStyle w:val="TableContents"/>
              <w:bidi w:val="0"/>
              <w:spacing w:before="0" w:after="0"/>
              <w:jc w:val="center"/>
              <w:rPr/>
            </w:pPr>
            <w:r>
              <w:rPr>
                <w:spacing w:val="-1"/>
              </w:rPr>
              <w:t>—</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005"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3085" w:type="dxa"/>
            <w:tcBorders>
              <w:bottom w:val="single" w:sz="2" w:space="0" w:color="666666"/>
            </w:tcBorders>
            <w:tcMar>
              <w:bottom w:w="34" w:type="dxa"/>
            </w:tcMar>
            <w:vAlign w:val="center"/>
          </w:tcPr>
          <w:p>
            <w:pPr>
              <w:pStyle w:val="TableContents"/>
              <w:bidi w:val="0"/>
              <w:spacing w:before="0" w:after="283"/>
              <w:jc w:val="left"/>
              <w:rPr/>
            </w:pPr>
            <w:r>
              <w:rPr>
                <w:spacing w:val="-1"/>
              </w:rPr>
              <w:t>Change in Control Only/Equity Awards not Assumed/Converted/Replaced</w:t>
            </w:r>
            <w:r>
              <w:rPr>
                <w:spacing w:val="-1"/>
                <w:szCs w:val="12"/>
              </w:rPr>
              <w:t>﻿</w:t>
            </w:r>
            <w:r>
              <w:rPr>
                <w:spacing w:val="-1"/>
                <w:sz w:val="12"/>
              </w:rPr>
              <w:t>4</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4"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15,980,769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82"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31,679,886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4"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47,660,655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005" w:type="dxa"/>
            <w:vMerge w:val="restart"/>
            <w:tcBorders>
              <w:bottom w:val="single" w:sz="2" w:space="0" w:color="666666"/>
            </w:tcBorders>
            <w:tcMar>
              <w:bottom w:w="58" w:type="dxa"/>
            </w:tcMar>
            <w:vAlign w:val="center"/>
          </w:tcPr>
          <w:p>
            <w:pPr>
              <w:pStyle w:val="TableContents"/>
              <w:bidi w:val="0"/>
              <w:spacing w:lineRule="atLeast" w:line="255" w:before="0" w:after="0"/>
              <w:jc w:val="left"/>
              <w:rPr>
                <w:b/>
                <w:spacing w:val="0"/>
              </w:rPr>
            </w:pPr>
            <w:r>
              <w:rPr>
                <w:b/>
                <w:spacing w:val="0"/>
              </w:rPr>
              <w:t xml:space="preserve">Julie Eng </w:t>
            </w:r>
          </w:p>
        </w:tc>
        <w:tc>
          <w:tcPr>
            <w:tcW w:w="109"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3085" w:type="dxa"/>
            <w:tcBorders>
              <w:bottom w:val="single" w:sz="2" w:space="0" w:color="666666"/>
            </w:tcBorders>
            <w:tcMar>
              <w:bottom w:w="58" w:type="dxa"/>
            </w:tcMar>
            <w:vAlign w:val="center"/>
          </w:tcPr>
          <w:p>
            <w:pPr>
              <w:pStyle w:val="TableContents"/>
              <w:bidi w:val="0"/>
              <w:spacing w:lineRule="atLeast" w:line="255" w:before="0" w:after="0"/>
              <w:jc w:val="left"/>
              <w:rPr/>
            </w:pPr>
            <w:r>
              <w:rPr>
                <w:spacing w:val="-1"/>
              </w:rPr>
              <w:t>Death/Disability</w:t>
            </w:r>
            <w:r>
              <w:rPr>
                <w:spacing w:val="-1"/>
                <w:sz w:val="12"/>
              </w:rPr>
              <w:t>1</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4" w:type="dxa"/>
            <w:tcBorders>
              <w:bottom w:val="single" w:sz="2" w:space="0" w:color="666666"/>
            </w:tcBorders>
            <w:tcMar>
              <w:bottom w:w="58" w:type="dxa"/>
            </w:tcMar>
            <w:vAlign w:val="center"/>
          </w:tcPr>
          <w:p>
            <w:pPr>
              <w:pStyle w:val="TableContents"/>
              <w:bidi w:val="0"/>
              <w:spacing w:lineRule="atLeast" w:line="255" w:before="0" w:after="0"/>
              <w:jc w:val="center"/>
              <w:rPr>
                <w:spacing w:val="-1"/>
              </w:rPr>
            </w:pPr>
            <w:r>
              <w:rPr>
                <w:spacing w:val="-1"/>
              </w:rPr>
              <w:t xml:space="preserve">19,222,523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82" w:type="dxa"/>
            <w:tcBorders>
              <w:bottom w:val="single" w:sz="2" w:space="0" w:color="666666"/>
            </w:tcBorders>
            <w:tcMar>
              <w:bottom w:w="58" w:type="dxa"/>
            </w:tcMar>
            <w:vAlign w:val="center"/>
          </w:tcPr>
          <w:p>
            <w:pPr>
              <w:pStyle w:val="TableContents"/>
              <w:bidi w:val="0"/>
              <w:spacing w:lineRule="atLeast" w:line="255" w:before="0" w:after="0"/>
              <w:jc w:val="center"/>
              <w:rPr>
                <w:spacing w:val="-1"/>
              </w:rPr>
            </w:pPr>
            <w:r>
              <w:rPr>
                <w:spacing w:val="-1"/>
              </w:rPr>
              <w:t xml:space="preserve">14,713,337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4" w:type="dxa"/>
            <w:tcBorders>
              <w:bottom w:val="single" w:sz="2" w:space="0" w:color="666666"/>
            </w:tcBorders>
            <w:tcMar>
              <w:bottom w:w="58" w:type="dxa"/>
            </w:tcMar>
            <w:vAlign w:val="center"/>
          </w:tcPr>
          <w:p>
            <w:pPr>
              <w:pStyle w:val="TableContents"/>
              <w:bidi w:val="0"/>
              <w:spacing w:lineRule="atLeast" w:line="255" w:before="0" w:after="0"/>
              <w:jc w:val="center"/>
              <w:rPr>
                <w:spacing w:val="-1"/>
              </w:rPr>
            </w:pPr>
            <w:r>
              <w:rPr>
                <w:spacing w:val="-1"/>
              </w:rPr>
              <w:t xml:space="preserve">33,935,860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005"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3085" w:type="dxa"/>
            <w:tcBorders>
              <w:bottom w:val="single" w:sz="2" w:space="0" w:color="666666"/>
            </w:tcBorders>
            <w:tcMar>
              <w:bottom w:w="58" w:type="dxa"/>
            </w:tcMar>
            <w:vAlign w:val="center"/>
          </w:tcPr>
          <w:p>
            <w:pPr>
              <w:pStyle w:val="TableContents"/>
              <w:bidi w:val="0"/>
              <w:spacing w:before="0" w:after="283"/>
              <w:jc w:val="left"/>
              <w:rPr/>
            </w:pPr>
            <w:r>
              <w:rPr>
                <w:spacing w:val="-1"/>
              </w:rPr>
              <w:t>Retirement</w:t>
            </w:r>
            <w:r>
              <w:rPr>
                <w:spacing w:val="-1"/>
                <w:sz w:val="12"/>
              </w:rPr>
              <w:t>2</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4"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82"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4"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005"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3085" w:type="dxa"/>
            <w:tcBorders>
              <w:bottom w:val="single" w:sz="2" w:space="0" w:color="666666"/>
            </w:tcBorders>
            <w:tcMar>
              <w:bottom w:w="58" w:type="dxa"/>
            </w:tcMar>
            <w:vAlign w:val="center"/>
          </w:tcPr>
          <w:p>
            <w:pPr>
              <w:pStyle w:val="TableContents"/>
              <w:bidi w:val="0"/>
              <w:spacing w:before="0" w:after="283"/>
              <w:jc w:val="left"/>
              <w:rPr>
                <w:spacing w:val="-1"/>
              </w:rPr>
            </w:pPr>
            <w:r>
              <w:rPr>
                <w:spacing w:val="-1"/>
              </w:rPr>
              <w:t xml:space="preserve">Voluntary Termination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4"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82"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4"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005"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3085" w:type="dxa"/>
            <w:tcBorders>
              <w:bottom w:val="single" w:sz="2" w:space="0" w:color="666666"/>
            </w:tcBorders>
            <w:tcMar>
              <w:bottom w:w="58" w:type="dxa"/>
            </w:tcMar>
            <w:vAlign w:val="center"/>
          </w:tcPr>
          <w:p>
            <w:pPr>
              <w:pStyle w:val="TableContents"/>
              <w:bidi w:val="0"/>
              <w:spacing w:before="0" w:after="283"/>
              <w:jc w:val="left"/>
              <w:rPr>
                <w:spacing w:val="-1"/>
              </w:rPr>
            </w:pPr>
            <w:r>
              <w:rPr>
                <w:spacing w:val="-1"/>
              </w:rPr>
              <w:t xml:space="preserve">Termination with Cause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4"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82"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4"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005"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3085" w:type="dxa"/>
            <w:tcBorders>
              <w:bottom w:val="single" w:sz="2" w:space="0" w:color="666666"/>
            </w:tcBorders>
            <w:tcMar>
              <w:bottom w:w="34" w:type="dxa"/>
            </w:tcMar>
            <w:vAlign w:val="center"/>
          </w:tcPr>
          <w:p>
            <w:pPr>
              <w:pStyle w:val="TableContents"/>
              <w:bidi w:val="0"/>
              <w:spacing w:before="0" w:after="283"/>
              <w:jc w:val="left"/>
              <w:rPr>
                <w:spacing w:val="-1"/>
              </w:rPr>
            </w:pPr>
            <w:r>
              <w:rPr>
                <w:spacing w:val="-1"/>
              </w:rPr>
              <w:t xml:space="preserve">Termination Without Cause or for Good Reason (no change in control)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4"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19,222,523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82"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14,713,337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4"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33,935,860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005"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3085" w:type="dxa"/>
            <w:tcBorders>
              <w:bottom w:val="single" w:sz="2" w:space="0" w:color="666666"/>
            </w:tcBorders>
            <w:tcMar>
              <w:bottom w:w="34" w:type="dxa"/>
            </w:tcMar>
            <w:vAlign w:val="center"/>
          </w:tcPr>
          <w:p>
            <w:pPr>
              <w:pStyle w:val="TableContents"/>
              <w:bidi w:val="0"/>
              <w:spacing w:before="0" w:after="283"/>
              <w:jc w:val="left"/>
              <w:rPr>
                <w:spacing w:val="-1"/>
              </w:rPr>
            </w:pPr>
            <w:r>
              <w:rPr>
                <w:spacing w:val="-1"/>
              </w:rPr>
              <w:t xml:space="preserve">Termination Without Cause or for Good Reason (change in control)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4"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19,222,523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82"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36,526,344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4"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55,748,867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005"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3085" w:type="dxa"/>
            <w:tcBorders>
              <w:bottom w:val="single" w:sz="2" w:space="0" w:color="666666"/>
            </w:tcBorders>
            <w:tcMar>
              <w:bottom w:w="34" w:type="dxa"/>
            </w:tcMar>
            <w:vAlign w:val="center"/>
          </w:tcPr>
          <w:p>
            <w:pPr>
              <w:pStyle w:val="TableContents"/>
              <w:bidi w:val="0"/>
              <w:spacing w:before="0" w:after="283"/>
              <w:jc w:val="left"/>
              <w:rPr/>
            </w:pPr>
            <w:r>
              <w:rPr>
                <w:spacing w:val="-1"/>
              </w:rPr>
              <w:t>Change in Control Only (continued employment)</w:t>
            </w:r>
            <w:r>
              <w:rPr>
                <w:spacing w:val="-1"/>
                <w:szCs w:val="12"/>
              </w:rPr>
              <w:t>﻿</w:t>
            </w:r>
            <w:r>
              <w:rPr>
                <w:spacing w:val="-1"/>
                <w:sz w:val="12"/>
              </w:rPr>
              <w:t>3</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4" w:type="dxa"/>
            <w:tcBorders>
              <w:bottom w:val="single" w:sz="2" w:space="0" w:color="666666"/>
            </w:tcBorders>
            <w:tcMar>
              <w:bottom w:w="34"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82" w:type="dxa"/>
            <w:tcBorders>
              <w:bottom w:val="single" w:sz="2" w:space="0" w:color="666666"/>
            </w:tcBorders>
            <w:tcMar>
              <w:bottom w:w="34"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4" w:type="dxa"/>
            <w:tcBorders>
              <w:bottom w:val="single" w:sz="2" w:space="0" w:color="666666"/>
            </w:tcBorders>
            <w:tcMar>
              <w:bottom w:w="34" w:type="dxa"/>
            </w:tcMar>
            <w:vAlign w:val="center"/>
          </w:tcPr>
          <w:p>
            <w:pPr>
              <w:pStyle w:val="TableContents"/>
              <w:bidi w:val="0"/>
              <w:spacing w:before="0" w:after="0"/>
              <w:jc w:val="center"/>
              <w:rPr/>
            </w:pPr>
            <w:r>
              <w:rPr>
                <w:spacing w:val="-1"/>
              </w:rPr>
              <w:t>—</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005"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3085" w:type="dxa"/>
            <w:tcBorders>
              <w:bottom w:val="single" w:sz="2" w:space="0" w:color="666666"/>
            </w:tcBorders>
            <w:tcMar>
              <w:bottom w:w="34" w:type="dxa"/>
            </w:tcMar>
            <w:vAlign w:val="center"/>
          </w:tcPr>
          <w:p>
            <w:pPr>
              <w:pStyle w:val="TableContents"/>
              <w:bidi w:val="0"/>
              <w:spacing w:before="0" w:after="283"/>
              <w:jc w:val="left"/>
              <w:rPr/>
            </w:pPr>
            <w:r>
              <w:rPr>
                <w:spacing w:val="-1"/>
              </w:rPr>
              <w:t>Change in Control Only/Equity Awards not Assumed/Converted/Replaced</w:t>
            </w:r>
            <w:r>
              <w:rPr>
                <w:spacing w:val="-1"/>
                <w:szCs w:val="12"/>
              </w:rPr>
              <w:t>﻿</w:t>
            </w:r>
            <w:r>
              <w:rPr>
                <w:spacing w:val="-1"/>
                <w:sz w:val="12"/>
              </w:rPr>
              <w:t>4</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4"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19,222,523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82"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36,526,344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4"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55,748,867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005" w:type="dxa"/>
            <w:vMerge w:val="restart"/>
            <w:tcBorders>
              <w:bottom w:val="single" w:sz="2" w:space="0" w:color="666666"/>
            </w:tcBorders>
            <w:tcMar>
              <w:bottom w:w="58" w:type="dxa"/>
            </w:tcMar>
            <w:vAlign w:val="center"/>
          </w:tcPr>
          <w:p>
            <w:pPr>
              <w:pStyle w:val="TableContents"/>
              <w:bidi w:val="0"/>
              <w:spacing w:lineRule="atLeast" w:line="255" w:before="0" w:after="0"/>
              <w:jc w:val="left"/>
              <w:rPr>
                <w:b/>
                <w:spacing w:val="0"/>
              </w:rPr>
            </w:pPr>
            <w:r>
              <w:rPr>
                <w:b/>
                <w:spacing w:val="0"/>
              </w:rPr>
              <w:t xml:space="preserve">Jeffrey Place </w:t>
            </w:r>
          </w:p>
        </w:tc>
        <w:tc>
          <w:tcPr>
            <w:tcW w:w="109"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3085" w:type="dxa"/>
            <w:tcBorders>
              <w:bottom w:val="single" w:sz="2" w:space="0" w:color="666666"/>
            </w:tcBorders>
            <w:tcMar>
              <w:bottom w:w="58" w:type="dxa"/>
            </w:tcMar>
            <w:vAlign w:val="center"/>
          </w:tcPr>
          <w:p>
            <w:pPr>
              <w:pStyle w:val="TableContents"/>
              <w:bidi w:val="0"/>
              <w:spacing w:lineRule="atLeast" w:line="255" w:before="0" w:after="0"/>
              <w:jc w:val="left"/>
              <w:rPr/>
            </w:pPr>
            <w:r>
              <w:rPr>
                <w:spacing w:val="-1"/>
              </w:rPr>
              <w:t>Death/Disability</w:t>
            </w:r>
            <w:r>
              <w:rPr>
                <w:spacing w:val="-1"/>
                <w:sz w:val="12"/>
              </w:rPr>
              <w:t>1</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4" w:type="dxa"/>
            <w:tcBorders>
              <w:bottom w:val="single" w:sz="2" w:space="0" w:color="666666"/>
            </w:tcBorders>
            <w:tcMar>
              <w:bottom w:w="58" w:type="dxa"/>
            </w:tcMar>
            <w:vAlign w:val="center"/>
          </w:tcPr>
          <w:p>
            <w:pPr>
              <w:pStyle w:val="TableContents"/>
              <w:bidi w:val="0"/>
              <w:spacing w:lineRule="atLeast" w:line="255" w:before="0" w:after="0"/>
              <w:jc w:val="center"/>
              <w:rPr>
                <w:spacing w:val="-1"/>
              </w:rPr>
            </w:pPr>
            <w:r>
              <w:rPr>
                <w:spacing w:val="-1"/>
              </w:rPr>
              <w:t xml:space="preserve">7,702,027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82" w:type="dxa"/>
            <w:tcBorders>
              <w:bottom w:val="single" w:sz="2" w:space="0" w:color="666666"/>
            </w:tcBorders>
            <w:tcMar>
              <w:bottom w:w="58" w:type="dxa"/>
            </w:tcMar>
            <w:vAlign w:val="center"/>
          </w:tcPr>
          <w:p>
            <w:pPr>
              <w:pStyle w:val="TableContents"/>
              <w:bidi w:val="0"/>
              <w:spacing w:lineRule="atLeast" w:line="255" w:before="0" w:after="0"/>
              <w:jc w:val="center"/>
              <w:rPr>
                <w:spacing w:val="-1"/>
              </w:rPr>
            </w:pPr>
            <w:r>
              <w:rPr>
                <w:spacing w:val="-1"/>
              </w:rPr>
              <w:t xml:space="preserve">3,257,796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4" w:type="dxa"/>
            <w:tcBorders>
              <w:bottom w:val="single" w:sz="2" w:space="0" w:color="666666"/>
            </w:tcBorders>
            <w:tcMar>
              <w:bottom w:w="58" w:type="dxa"/>
            </w:tcMar>
            <w:vAlign w:val="center"/>
          </w:tcPr>
          <w:p>
            <w:pPr>
              <w:pStyle w:val="TableContents"/>
              <w:bidi w:val="0"/>
              <w:spacing w:lineRule="atLeast" w:line="255" w:before="0" w:after="0"/>
              <w:jc w:val="center"/>
              <w:rPr>
                <w:spacing w:val="-1"/>
              </w:rPr>
            </w:pPr>
            <w:r>
              <w:rPr>
                <w:spacing w:val="-1"/>
              </w:rPr>
              <w:t xml:space="preserve">10,959,823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005"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3085" w:type="dxa"/>
            <w:tcBorders>
              <w:bottom w:val="single" w:sz="2" w:space="0" w:color="666666"/>
            </w:tcBorders>
            <w:tcMar>
              <w:bottom w:w="58" w:type="dxa"/>
            </w:tcMar>
            <w:vAlign w:val="center"/>
          </w:tcPr>
          <w:p>
            <w:pPr>
              <w:pStyle w:val="TableContents"/>
              <w:bidi w:val="0"/>
              <w:spacing w:before="0" w:after="283"/>
              <w:jc w:val="left"/>
              <w:rPr/>
            </w:pPr>
            <w:r>
              <w:rPr>
                <w:spacing w:val="-1"/>
              </w:rPr>
              <w:t>Retirement</w:t>
            </w:r>
            <w:r>
              <w:rPr>
                <w:spacing w:val="-1"/>
                <w:sz w:val="12"/>
              </w:rPr>
              <w:t>2</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4"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82"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4"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005"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3085" w:type="dxa"/>
            <w:tcBorders>
              <w:bottom w:val="single" w:sz="2" w:space="0" w:color="666666"/>
            </w:tcBorders>
            <w:tcMar>
              <w:bottom w:w="58" w:type="dxa"/>
            </w:tcMar>
            <w:vAlign w:val="center"/>
          </w:tcPr>
          <w:p>
            <w:pPr>
              <w:pStyle w:val="TableContents"/>
              <w:bidi w:val="0"/>
              <w:spacing w:before="0" w:after="283"/>
              <w:jc w:val="left"/>
              <w:rPr>
                <w:spacing w:val="-1"/>
              </w:rPr>
            </w:pPr>
            <w:r>
              <w:rPr>
                <w:spacing w:val="-1"/>
              </w:rPr>
              <w:t xml:space="preserve">Voluntary Termination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4"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82"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4"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005"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3085" w:type="dxa"/>
            <w:tcBorders>
              <w:bottom w:val="single" w:sz="2" w:space="0" w:color="666666"/>
            </w:tcBorders>
            <w:tcMar>
              <w:bottom w:w="58" w:type="dxa"/>
            </w:tcMar>
            <w:vAlign w:val="center"/>
          </w:tcPr>
          <w:p>
            <w:pPr>
              <w:pStyle w:val="TableContents"/>
              <w:bidi w:val="0"/>
              <w:spacing w:before="0" w:after="283"/>
              <w:jc w:val="left"/>
              <w:rPr>
                <w:spacing w:val="-1"/>
              </w:rPr>
            </w:pPr>
            <w:r>
              <w:rPr>
                <w:spacing w:val="-1"/>
              </w:rPr>
              <w:t xml:space="preserve">Termination with Cause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4"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82"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4"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005"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3085" w:type="dxa"/>
            <w:tcBorders>
              <w:bottom w:val="single" w:sz="2" w:space="0" w:color="666666"/>
            </w:tcBorders>
            <w:tcMar>
              <w:bottom w:w="34" w:type="dxa"/>
            </w:tcMar>
            <w:vAlign w:val="center"/>
          </w:tcPr>
          <w:p>
            <w:pPr>
              <w:pStyle w:val="TableContents"/>
              <w:bidi w:val="0"/>
              <w:spacing w:before="0" w:after="283"/>
              <w:jc w:val="left"/>
              <w:rPr>
                <w:spacing w:val="-1"/>
              </w:rPr>
            </w:pPr>
            <w:r>
              <w:rPr>
                <w:spacing w:val="-1"/>
              </w:rPr>
              <w:t xml:space="preserve">Termination Without Cause or for Good Reason (no change in control)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4"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7,702,027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82"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3,257,796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4"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10,959,823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005"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3085" w:type="dxa"/>
            <w:tcBorders>
              <w:bottom w:val="single" w:sz="2" w:space="0" w:color="666666"/>
            </w:tcBorders>
            <w:tcMar>
              <w:bottom w:w="34" w:type="dxa"/>
            </w:tcMar>
            <w:vAlign w:val="center"/>
          </w:tcPr>
          <w:p>
            <w:pPr>
              <w:pStyle w:val="TableContents"/>
              <w:bidi w:val="0"/>
              <w:spacing w:before="0" w:after="283"/>
              <w:jc w:val="left"/>
              <w:rPr>
                <w:spacing w:val="-1"/>
              </w:rPr>
            </w:pPr>
            <w:r>
              <w:rPr>
                <w:spacing w:val="-1"/>
              </w:rPr>
              <w:t xml:space="preserve">Termination Without Cause or for Good Reason (change in control)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4"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7,702,027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82"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9,773,389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4"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17,475,416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005"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3085" w:type="dxa"/>
            <w:tcBorders>
              <w:bottom w:val="single" w:sz="2" w:space="0" w:color="666666"/>
            </w:tcBorders>
            <w:tcMar>
              <w:bottom w:w="34" w:type="dxa"/>
            </w:tcMar>
            <w:vAlign w:val="center"/>
          </w:tcPr>
          <w:p>
            <w:pPr>
              <w:pStyle w:val="TableContents"/>
              <w:bidi w:val="0"/>
              <w:spacing w:before="0" w:after="283"/>
              <w:jc w:val="left"/>
              <w:rPr/>
            </w:pPr>
            <w:r>
              <w:rPr>
                <w:spacing w:val="-1"/>
              </w:rPr>
              <w:t>Change in Control Only (continued employment)</w:t>
            </w:r>
            <w:r>
              <w:rPr>
                <w:spacing w:val="-1"/>
                <w:szCs w:val="12"/>
              </w:rPr>
              <w:t>﻿</w:t>
            </w:r>
            <w:r>
              <w:rPr>
                <w:spacing w:val="-1"/>
                <w:sz w:val="12"/>
              </w:rPr>
              <w:t>3</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4" w:type="dxa"/>
            <w:tcBorders>
              <w:bottom w:val="single" w:sz="2" w:space="0" w:color="666666"/>
            </w:tcBorders>
            <w:tcMar>
              <w:bottom w:w="34"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82" w:type="dxa"/>
            <w:tcBorders>
              <w:bottom w:val="single" w:sz="2" w:space="0" w:color="666666"/>
            </w:tcBorders>
            <w:tcMar>
              <w:bottom w:w="34"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4" w:type="dxa"/>
            <w:tcBorders>
              <w:bottom w:val="single" w:sz="2" w:space="0" w:color="666666"/>
            </w:tcBorders>
            <w:tcMar>
              <w:bottom w:w="34" w:type="dxa"/>
            </w:tcMar>
            <w:vAlign w:val="center"/>
          </w:tcPr>
          <w:p>
            <w:pPr>
              <w:pStyle w:val="TableContents"/>
              <w:bidi w:val="0"/>
              <w:spacing w:before="0" w:after="0"/>
              <w:jc w:val="center"/>
              <w:rPr/>
            </w:pPr>
            <w:r>
              <w:rPr>
                <w:spacing w:val="-1"/>
              </w:rPr>
              <w:t>—</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005"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3085" w:type="dxa"/>
            <w:tcBorders>
              <w:bottom w:val="single" w:sz="2" w:space="0" w:color="666666"/>
            </w:tcBorders>
            <w:tcMar>
              <w:bottom w:w="34" w:type="dxa"/>
            </w:tcMar>
            <w:vAlign w:val="center"/>
          </w:tcPr>
          <w:p>
            <w:pPr>
              <w:pStyle w:val="TableContents"/>
              <w:bidi w:val="0"/>
              <w:spacing w:before="0" w:after="283"/>
              <w:jc w:val="left"/>
              <w:rPr/>
            </w:pPr>
            <w:r>
              <w:rPr>
                <w:spacing w:val="-1"/>
              </w:rPr>
              <w:t>Change in Control Only/Equity Awards not Assumed/Converted/Replaced</w:t>
            </w:r>
            <w:r>
              <w:rPr>
                <w:spacing w:val="-1"/>
                <w:szCs w:val="12"/>
              </w:rPr>
              <w:t>﻿</w:t>
            </w:r>
            <w:r>
              <w:rPr>
                <w:spacing w:val="-1"/>
                <w:sz w:val="12"/>
              </w:rPr>
              <w:t>4</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4"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7,702,027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82"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9,773,389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4"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17,475,416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70</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1509"/>
        <w:gridCol w:w="109"/>
        <w:gridCol w:w="109"/>
        <w:gridCol w:w="2659"/>
        <w:gridCol w:w="109"/>
        <w:gridCol w:w="109"/>
        <w:gridCol w:w="1324"/>
        <w:gridCol w:w="109"/>
        <w:gridCol w:w="109"/>
        <w:gridCol w:w="1439"/>
        <w:gridCol w:w="109"/>
        <w:gridCol w:w="109"/>
        <w:gridCol w:w="1190"/>
        <w:gridCol w:w="155"/>
      </w:tblGrid>
      <w:tr>
        <w:trPr/>
        <w:tc>
          <w:tcPr>
            <w:tcW w:w="124" w:type="dxa"/>
            <w:tcBorders/>
            <w:shd w:fill="000000" w:val="clear"/>
            <w:vAlign w:val="center"/>
          </w:tcPr>
          <w:p>
            <w:pPr>
              <w:pStyle w:val="TableContents"/>
              <w:bidi w:val="0"/>
              <w:spacing w:before="0" w:after="283"/>
              <w:jc w:val="left"/>
              <w:rPr/>
            </w:pPr>
            <w:r>
              <w:rPr/>
              <w:t>​</w:t>
            </w:r>
          </w:p>
        </w:tc>
        <w:tc>
          <w:tcPr>
            <w:tcW w:w="1509" w:type="dxa"/>
            <w:tcBorders/>
            <w:shd w:fill="000000" w:val="clear"/>
            <w:vAlign w:val="center"/>
          </w:tcPr>
          <w:p>
            <w:pPr>
              <w:pStyle w:val="TableContents"/>
              <w:bidi w:val="0"/>
              <w:spacing w:before="0" w:after="0"/>
              <w:jc w:val="left"/>
              <w:rPr/>
            </w:pPr>
            <w:r>
              <w:rPr/>
              <w:t xml:space="preserve">NEO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659" w:type="dxa"/>
            <w:tcBorders/>
            <w:shd w:fill="000000" w:val="clear"/>
            <w:vAlign w:val="center"/>
          </w:tcPr>
          <w:p>
            <w:pPr>
              <w:pStyle w:val="TableContents"/>
              <w:bidi w:val="0"/>
              <w:spacing w:before="0" w:after="0"/>
              <w:jc w:val="left"/>
              <w:rPr/>
            </w:pPr>
            <w:r>
              <w:rPr/>
              <w:t xml:space="preserve">Triggering Event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24" w:type="dxa"/>
            <w:tcBorders/>
            <w:shd w:fill="000000" w:val="clear"/>
            <w:vAlign w:val="center"/>
          </w:tcPr>
          <w:p>
            <w:pPr>
              <w:pStyle w:val="TableContents"/>
              <w:bidi w:val="0"/>
              <w:spacing w:before="0" w:after="0"/>
              <w:jc w:val="center"/>
              <w:rPr/>
            </w:pPr>
            <w:r>
              <w:rPr/>
              <w:t>Accelerated</w:t>
              <w:br/>
              <w:t>Restricted Stock</w:t>
              <w:br/>
              <w:t>Units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39" w:type="dxa"/>
            <w:tcBorders/>
            <w:shd w:fill="000000" w:val="clear"/>
            <w:vAlign w:val="center"/>
          </w:tcPr>
          <w:p>
            <w:pPr>
              <w:pStyle w:val="TableContents"/>
              <w:bidi w:val="0"/>
              <w:spacing w:lineRule="atLeast" w:line="142" w:before="0" w:after="0"/>
              <w:jc w:val="center"/>
              <w:rPr/>
            </w:pPr>
            <w:r>
              <w:rPr/>
              <w:t>Accelerated</w:t>
              <w:br/>
              <w:t>Performance Stock</w:t>
              <w:br/>
              <w:t>Units</w:t>
              <w:br/>
              <w:t>($)</w:t>
            </w:r>
            <w:r>
              <w:rPr>
                <w:sz w:val="10"/>
              </w:rPr>
              <w:t>1</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90" w:type="dxa"/>
            <w:tcBorders/>
            <w:shd w:fill="000000" w:val="clear"/>
            <w:vAlign w:val="center"/>
          </w:tcPr>
          <w:p>
            <w:pPr>
              <w:pStyle w:val="TableContents"/>
              <w:bidi w:val="0"/>
              <w:spacing w:before="0" w:after="0"/>
              <w:jc w:val="center"/>
              <w:rPr/>
            </w:pPr>
            <w:r>
              <w:rPr/>
              <w:t>Total</w:t>
              <w:br/>
              <w:t xml:space="preserve">($) </w:t>
            </w:r>
          </w:p>
        </w:tc>
        <w:tc>
          <w:tcPr>
            <w:tcW w:w="155" w:type="dxa"/>
            <w:tcBorders/>
            <w:shd w:fill="000000" w:val="clear"/>
            <w:vAlign w:val="center"/>
          </w:tcPr>
          <w:p>
            <w:pPr>
              <w:pStyle w:val="TableContents"/>
              <w:bidi w:val="0"/>
              <w:spacing w:before="0" w:after="283"/>
              <w:jc w:val="left"/>
              <w:rPr/>
            </w:pPr>
            <w:r>
              <w:rPr/>
              <w:t>​</w:t>
            </w:r>
          </w:p>
        </w:tc>
      </w:tr>
      <w:tr>
        <w:trPr/>
        <w:tc>
          <w:tcPr>
            <w:tcW w:w="124"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509" w:type="dxa"/>
            <w:vMerge w:val="restart"/>
            <w:tcBorders>
              <w:bottom w:val="single" w:sz="2" w:space="0" w:color="666666"/>
            </w:tcBorders>
            <w:tcMar>
              <w:bottom w:w="58" w:type="dxa"/>
            </w:tcMar>
            <w:vAlign w:val="center"/>
          </w:tcPr>
          <w:p>
            <w:pPr>
              <w:pStyle w:val="TableContents"/>
              <w:bidi w:val="0"/>
              <w:spacing w:lineRule="atLeast" w:line="255" w:before="0" w:after="0"/>
              <w:jc w:val="left"/>
              <w:rPr>
                <w:b/>
              </w:rPr>
            </w:pPr>
            <w:r>
              <w:rPr>
                <w:b/>
                <w:spacing w:val="0"/>
              </w:rPr>
              <w:t>Giovanni Barbarossa</w:t>
            </w:r>
            <w:r>
              <w:rPr>
                <w:b/>
              </w:rPr>
              <w:t xml:space="preserve"> </w:t>
            </w:r>
          </w:p>
        </w:tc>
        <w:tc>
          <w:tcPr>
            <w:tcW w:w="109"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659" w:type="dxa"/>
            <w:tcBorders>
              <w:bottom w:val="single" w:sz="2" w:space="0" w:color="666666"/>
            </w:tcBorders>
            <w:tcMar>
              <w:bottom w:w="58" w:type="dxa"/>
            </w:tcMar>
            <w:vAlign w:val="center"/>
          </w:tcPr>
          <w:p>
            <w:pPr>
              <w:pStyle w:val="TableContents"/>
              <w:bidi w:val="0"/>
              <w:spacing w:lineRule="atLeast" w:line="255" w:before="0" w:after="0"/>
              <w:jc w:val="left"/>
              <w:rPr/>
            </w:pPr>
            <w:r>
              <w:rPr>
                <w:spacing w:val="-1"/>
              </w:rPr>
              <w:t>Death/Disability</w:t>
            </w:r>
            <w:r>
              <w:rPr>
                <w:spacing w:val="-1"/>
                <w:sz w:val="12"/>
              </w:rPr>
              <w:t>1</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24" w:type="dxa"/>
            <w:tcBorders>
              <w:bottom w:val="single" w:sz="2" w:space="0" w:color="666666"/>
            </w:tcBorders>
            <w:tcMar>
              <w:bottom w:w="58" w:type="dxa"/>
            </w:tcMar>
            <w:vAlign w:val="center"/>
          </w:tcPr>
          <w:p>
            <w:pPr>
              <w:pStyle w:val="TableContents"/>
              <w:bidi w:val="0"/>
              <w:spacing w:lineRule="atLeast" w:line="255" w:before="0" w:after="0"/>
              <w:jc w:val="center"/>
              <w:rPr>
                <w:spacing w:val="-1"/>
              </w:rPr>
            </w:pPr>
            <w:r>
              <w:rPr>
                <w:spacing w:val="-1"/>
              </w:rPr>
              <w:t xml:space="preserve">22,687,548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39" w:type="dxa"/>
            <w:tcBorders>
              <w:bottom w:val="single" w:sz="2" w:space="0" w:color="666666"/>
            </w:tcBorders>
            <w:tcMar>
              <w:bottom w:w="58" w:type="dxa"/>
            </w:tcMar>
            <w:vAlign w:val="center"/>
          </w:tcPr>
          <w:p>
            <w:pPr>
              <w:pStyle w:val="TableContents"/>
              <w:bidi w:val="0"/>
              <w:spacing w:lineRule="atLeast" w:line="255" w:before="0" w:after="0"/>
              <w:jc w:val="center"/>
              <w:rPr>
                <w:spacing w:val="-1"/>
              </w:rPr>
            </w:pPr>
            <w:r>
              <w:rPr>
                <w:spacing w:val="-1"/>
              </w:rPr>
              <w:t xml:space="preserve">7,559,229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0" w:type="dxa"/>
            <w:tcBorders>
              <w:bottom w:val="single" w:sz="2" w:space="0" w:color="666666"/>
            </w:tcBorders>
            <w:tcMar>
              <w:bottom w:w="58" w:type="dxa"/>
            </w:tcMar>
            <w:vAlign w:val="center"/>
          </w:tcPr>
          <w:p>
            <w:pPr>
              <w:pStyle w:val="TableContents"/>
              <w:bidi w:val="0"/>
              <w:spacing w:lineRule="atLeast" w:line="255" w:before="0" w:after="0"/>
              <w:jc w:val="center"/>
              <w:rPr>
                <w:spacing w:val="-1"/>
              </w:rPr>
            </w:pPr>
            <w:r>
              <w:rPr>
                <w:spacing w:val="-1"/>
              </w:rPr>
              <w:t xml:space="preserve">30,246,777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509"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659" w:type="dxa"/>
            <w:tcBorders>
              <w:bottom w:val="single" w:sz="2" w:space="0" w:color="666666"/>
            </w:tcBorders>
            <w:tcMar>
              <w:bottom w:w="58" w:type="dxa"/>
            </w:tcMar>
            <w:vAlign w:val="center"/>
          </w:tcPr>
          <w:p>
            <w:pPr>
              <w:pStyle w:val="TableContents"/>
              <w:bidi w:val="0"/>
              <w:spacing w:before="0" w:after="283"/>
              <w:jc w:val="left"/>
              <w:rPr/>
            </w:pPr>
            <w:r>
              <w:rPr>
                <w:spacing w:val="-1"/>
              </w:rPr>
              <w:t>Retirement</w:t>
            </w:r>
            <w:r>
              <w:rPr>
                <w:spacing w:val="-1"/>
                <w:sz w:val="12"/>
              </w:rPr>
              <w:t>2</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24"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39"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0"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509"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659" w:type="dxa"/>
            <w:tcBorders>
              <w:bottom w:val="single" w:sz="2" w:space="0" w:color="666666"/>
            </w:tcBorders>
            <w:tcMar>
              <w:bottom w:w="58" w:type="dxa"/>
            </w:tcMar>
            <w:vAlign w:val="center"/>
          </w:tcPr>
          <w:p>
            <w:pPr>
              <w:pStyle w:val="TableContents"/>
              <w:bidi w:val="0"/>
              <w:spacing w:before="0" w:after="283"/>
              <w:jc w:val="left"/>
              <w:rPr>
                <w:spacing w:val="-1"/>
              </w:rPr>
            </w:pPr>
            <w:r>
              <w:rPr>
                <w:spacing w:val="-1"/>
              </w:rPr>
              <w:t xml:space="preserve">Voluntary Termination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24"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39"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0"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509"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659" w:type="dxa"/>
            <w:tcBorders>
              <w:bottom w:val="single" w:sz="2" w:space="0" w:color="666666"/>
            </w:tcBorders>
            <w:tcMar>
              <w:bottom w:w="58" w:type="dxa"/>
            </w:tcMar>
            <w:vAlign w:val="center"/>
          </w:tcPr>
          <w:p>
            <w:pPr>
              <w:pStyle w:val="TableContents"/>
              <w:bidi w:val="0"/>
              <w:spacing w:before="0" w:after="283"/>
              <w:jc w:val="left"/>
              <w:rPr>
                <w:spacing w:val="-1"/>
              </w:rPr>
            </w:pPr>
            <w:r>
              <w:rPr>
                <w:spacing w:val="-1"/>
              </w:rPr>
              <w:t xml:space="preserve">Termination with Cause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24"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39"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0" w:type="dxa"/>
            <w:tcBorders>
              <w:bottom w:val="single" w:sz="2" w:space="0" w:color="666666"/>
            </w:tcBorders>
            <w:tcMar>
              <w:bottom w:w="58" w:type="dxa"/>
            </w:tcMar>
            <w:vAlign w:val="center"/>
          </w:tcPr>
          <w:p>
            <w:pPr>
              <w:pStyle w:val="TableContents"/>
              <w:bidi w:val="0"/>
              <w:spacing w:before="0" w:after="0"/>
              <w:jc w:val="center"/>
              <w:rPr/>
            </w:pPr>
            <w:r>
              <w:rPr>
                <w:spacing w:val="-1"/>
              </w:rPr>
              <w:t>—</w:t>
            </w:r>
            <w:r>
              <w:rPr/>
              <w:t xml:space="preserve">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509"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659" w:type="dxa"/>
            <w:tcBorders>
              <w:bottom w:val="single" w:sz="2" w:space="0" w:color="666666"/>
            </w:tcBorders>
            <w:tcMar>
              <w:bottom w:w="34" w:type="dxa"/>
            </w:tcMar>
            <w:vAlign w:val="center"/>
          </w:tcPr>
          <w:p>
            <w:pPr>
              <w:pStyle w:val="TableContents"/>
              <w:bidi w:val="0"/>
              <w:spacing w:before="0" w:after="283"/>
              <w:jc w:val="left"/>
              <w:rPr>
                <w:spacing w:val="-1"/>
              </w:rPr>
            </w:pPr>
            <w:r>
              <w:rPr>
                <w:spacing w:val="-1"/>
              </w:rPr>
              <w:t xml:space="preserve">Termination Without Cause or for Good Reason (no change in control)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24"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22,687,548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39"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7,559,229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0"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30,246,777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509"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659" w:type="dxa"/>
            <w:tcBorders>
              <w:bottom w:val="single" w:sz="2" w:space="0" w:color="666666"/>
            </w:tcBorders>
            <w:tcMar>
              <w:bottom w:w="34" w:type="dxa"/>
            </w:tcMar>
            <w:vAlign w:val="center"/>
          </w:tcPr>
          <w:p>
            <w:pPr>
              <w:pStyle w:val="TableContents"/>
              <w:bidi w:val="0"/>
              <w:spacing w:before="0" w:after="283"/>
              <w:jc w:val="left"/>
              <w:rPr>
                <w:spacing w:val="-1"/>
              </w:rPr>
            </w:pPr>
            <w:r>
              <w:rPr>
                <w:spacing w:val="-1"/>
              </w:rPr>
              <w:t xml:space="preserve">Termination Without Cause or for Good Reason (change in control)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24"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22,687,548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39"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14,759,490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0"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37,447,038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509"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659" w:type="dxa"/>
            <w:tcBorders>
              <w:bottom w:val="single" w:sz="2" w:space="0" w:color="666666"/>
            </w:tcBorders>
            <w:tcMar>
              <w:bottom w:w="34" w:type="dxa"/>
            </w:tcMar>
            <w:vAlign w:val="center"/>
          </w:tcPr>
          <w:p>
            <w:pPr>
              <w:pStyle w:val="TableContents"/>
              <w:bidi w:val="0"/>
              <w:spacing w:before="0" w:after="283"/>
              <w:jc w:val="left"/>
              <w:rPr/>
            </w:pPr>
            <w:r>
              <w:rPr>
                <w:spacing w:val="-1"/>
              </w:rPr>
              <w:t>Change in Control Only (continued employment)</w:t>
            </w:r>
            <w:r>
              <w:rPr>
                <w:spacing w:val="-1"/>
                <w:szCs w:val="12"/>
              </w:rPr>
              <w:t>﻿</w:t>
            </w:r>
            <w:r>
              <w:rPr>
                <w:spacing w:val="-1"/>
                <w:sz w:val="12"/>
              </w:rPr>
              <w:t>3</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24" w:type="dxa"/>
            <w:tcBorders>
              <w:bottom w:val="single" w:sz="2" w:space="0" w:color="666666"/>
            </w:tcBorders>
            <w:tcMar>
              <w:bottom w:w="34"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39" w:type="dxa"/>
            <w:tcBorders>
              <w:bottom w:val="single" w:sz="2" w:space="0" w:color="666666"/>
            </w:tcBorders>
            <w:tcMar>
              <w:bottom w:w="34"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0" w:type="dxa"/>
            <w:tcBorders>
              <w:bottom w:val="single" w:sz="2" w:space="0" w:color="666666"/>
            </w:tcBorders>
            <w:tcMar>
              <w:bottom w:w="34" w:type="dxa"/>
            </w:tcMar>
            <w:vAlign w:val="center"/>
          </w:tcPr>
          <w:p>
            <w:pPr>
              <w:pStyle w:val="TableContents"/>
              <w:bidi w:val="0"/>
              <w:spacing w:before="0" w:after="0"/>
              <w:jc w:val="center"/>
              <w:rPr/>
            </w:pPr>
            <w:r>
              <w:rPr>
                <w:spacing w:val="-1"/>
              </w:rPr>
              <w:t>—</w:t>
            </w:r>
            <w:r>
              <w:rPr/>
              <w:t xml:space="preserve">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509" w:type="dxa"/>
            <w:vMerge w:val="continue"/>
            <w:tcBorders>
              <w:bottom w:val="single" w:sz="2" w:space="0" w:color="666666"/>
            </w:tcBorders>
            <w:tcMar>
              <w:bottom w:w="5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659" w:type="dxa"/>
            <w:tcBorders>
              <w:bottom w:val="single" w:sz="2" w:space="0" w:color="666666"/>
            </w:tcBorders>
            <w:tcMar>
              <w:bottom w:w="34" w:type="dxa"/>
            </w:tcMar>
            <w:vAlign w:val="center"/>
          </w:tcPr>
          <w:p>
            <w:pPr>
              <w:pStyle w:val="TableContents"/>
              <w:bidi w:val="0"/>
              <w:spacing w:before="0" w:after="283"/>
              <w:jc w:val="left"/>
              <w:rPr/>
            </w:pPr>
            <w:r>
              <w:rPr>
                <w:spacing w:val="-1"/>
              </w:rPr>
              <w:t>Change in Control Only/Equity Awards not Assumed/Converted/Replaced</w:t>
            </w:r>
            <w:r>
              <w:rPr>
                <w:spacing w:val="-1"/>
                <w:szCs w:val="12"/>
              </w:rPr>
              <w:t>﻿</w:t>
            </w:r>
            <w:r>
              <w:rPr>
                <w:spacing w:val="-1"/>
                <w:sz w:val="12"/>
              </w:rPr>
              <w:t>4</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24"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22,687,548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39" w:type="dxa"/>
            <w:tcBorders>
              <w:bottom w:val="single" w:sz="2" w:space="0" w:color="666666"/>
            </w:tcBorders>
            <w:tcMar>
              <w:bottom w:w="34" w:type="dxa"/>
            </w:tcMar>
            <w:vAlign w:val="center"/>
          </w:tcPr>
          <w:p>
            <w:pPr>
              <w:pStyle w:val="TableContents"/>
              <w:bidi w:val="0"/>
              <w:spacing w:before="0" w:after="0"/>
              <w:jc w:val="center"/>
              <w:rPr>
                <w:spacing w:val="-1"/>
              </w:rPr>
            </w:pPr>
            <w:r>
              <w:rPr>
                <w:spacing w:val="-1"/>
              </w:rPr>
              <w:t xml:space="preserve">14,759,490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0" w:type="dxa"/>
            <w:tcBorders>
              <w:bottom w:val="single" w:sz="2" w:space="0" w:color="666666"/>
            </w:tcBorders>
            <w:tcMar>
              <w:bottom w:w="34" w:type="dxa"/>
            </w:tcMar>
            <w:vAlign w:val="center"/>
          </w:tcPr>
          <w:p>
            <w:pPr>
              <w:pStyle w:val="TableContents"/>
              <w:bidi w:val="0"/>
              <w:spacing w:before="0" w:after="0"/>
              <w:jc w:val="center"/>
              <w:rPr/>
            </w:pPr>
            <w:r>
              <w:rPr>
                <w:spacing w:val="-1"/>
              </w:rPr>
              <w:t>37,447,038</w:t>
            </w:r>
            <w:r>
              <w:rPr/>
              <w:t xml:space="preserve">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20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For purposes of calculating the value of accelerated PSUs, we have assumed achievement of all relevant performance goals at the “target level.”</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127000" distB="0" distL="0" distR="0" simplePos="0" locked="0" layoutInCell="1" allowOverlap="1" relativeHeight="400">
                <wp:simplePos x="0" y="0"/>
                <wp:positionH relativeFrom="column">
                  <wp:align>left</wp:align>
                </wp:positionH>
                <wp:positionV relativeFrom="line">
                  <wp:align>top</wp:align>
                </wp:positionV>
                <wp:extent cx="203200" cy="204470"/>
                <wp:effectExtent l="0" t="0" r="0" b="0"/>
                <wp:wrapSquare wrapText="right"/>
                <wp:docPr id="408" name="Frame190"/>
                <a:graphic xmlns:a="http://schemas.openxmlformats.org/drawingml/2006/main">
                  <a:graphicData uri="http://schemas.microsoft.com/office/word/2010/wordprocessingShape">
                    <wps:wsp>
                      <wps:cNvSpPr txBox="1"/>
                      <wps:spPr>
                        <a:xfrm>
                          <a:off x="0" y="0"/>
                          <a:ext cx="203200" cy="204470"/>
                        </a:xfrm>
                        <a:prstGeom prst="rect"/>
                        <a:solidFill>
                          <a:srgbClr val="FFFFFF"/>
                        </a:solidFill>
                      </wps:spPr>
                      <wps:txbx>
                        <w:txbxContent>
                          <w:p>
                            <w:pPr>
                              <w:pStyle w:val="TextBody"/>
                              <w:bidi w:val="0"/>
                              <w:spacing w:before="0" w:after="283"/>
                              <w:jc w:val="left"/>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16pt;height:16.1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before="0" w:after="283"/>
                        <w:jc w:val="left"/>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As of June 30, 2026, no NEO was eligible for retirement benefits under the Company’s Global Retirement Policy.</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50800" distB="0" distL="0" distR="0" simplePos="0" locked="0" layoutInCell="1" allowOverlap="1" relativeHeight="401">
                <wp:simplePos x="0" y="0"/>
                <wp:positionH relativeFrom="column">
                  <wp:align>left</wp:align>
                </wp:positionH>
                <wp:positionV relativeFrom="line">
                  <wp:align>top</wp:align>
                </wp:positionV>
                <wp:extent cx="203200" cy="228600"/>
                <wp:effectExtent l="0" t="0" r="0" b="0"/>
                <wp:wrapSquare wrapText="right"/>
                <wp:docPr id="409" name="Frame191"/>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2.</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2.</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Assumes that all equity awards are assumed, converted and/or replaced by the resulting entity, that there is no accelerated vesting pursuant to the terms of the applicable award agreements if such NEO’s employment continues after a Change in Control and that such NEO is not terminated without Cause, or by the NEO for Good Reason, within two years of such Change in Control.</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50800" distB="0" distL="0" distR="0" simplePos="0" locked="0" layoutInCell="1" allowOverlap="1" relativeHeight="402">
                <wp:simplePos x="0" y="0"/>
                <wp:positionH relativeFrom="column">
                  <wp:align>left</wp:align>
                </wp:positionH>
                <wp:positionV relativeFrom="line">
                  <wp:align>top</wp:align>
                </wp:positionV>
                <wp:extent cx="203200" cy="228600"/>
                <wp:effectExtent l="0" t="0" r="0" b="0"/>
                <wp:wrapSquare wrapText="right"/>
                <wp:docPr id="410" name="Frame192"/>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3.</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3.</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Assumes that no equity award is assumed, converted and/or replaced by the resulting entity. Pursuant to the terms of the applicable equity plans, any stock options become fully exercisable, any unvested portions of any RSUs fully vest and any unvested portions of any PSUs are deemed fully earned as of the date of the Change in Control. For purposes of calculating the value of the accelerated PSUs, we have assumed achievement of all relevant performance goals at the “target level.”</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50800" distB="0" distL="0" distR="0" simplePos="0" locked="0" layoutInCell="1" allowOverlap="1" relativeHeight="403">
                <wp:simplePos x="0" y="0"/>
                <wp:positionH relativeFrom="column">
                  <wp:align>left</wp:align>
                </wp:positionH>
                <wp:positionV relativeFrom="line">
                  <wp:align>top</wp:align>
                </wp:positionV>
                <wp:extent cx="203200" cy="228600"/>
                <wp:effectExtent l="0" t="0" r="0" b="0"/>
                <wp:wrapSquare wrapText="right"/>
                <wp:docPr id="411" name="Frame193"/>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4.</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4.</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SEVERANCE PAYMENTS</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In addition to equity vesting, the NEOs may become eligible for additional severance payments in case of a qualifying termination, generally defined as (i) a termination of employment by the Company other than for Cause, death or disability, or (ii) the NEO’s resignation for Good Reason. The right to severance payments upon a qualifying termination is governed by the Offer Letter for Mr. Anderson and the applicable Participation Agreements under the Executive Severance Plan for the other NEOs. The following discussion summarizes and quantifies those severance payments.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Mr. Anderson’s Offer Letter and the Executive Severance Plan include definitions of “Cause” and “Good Reason,” which are generally similar to one another but with minor variations. These definitions also control for purposes of equity vesting noted in the preceding section. “Cause” generally requires conduct significantly adverse to the Company, such as material breach by the executive of agreements, willful failure to perform duties, willful violation of Company policies, conviction of certain crimes, and other types of significant misconduct, and “Good Reason” is generally triggered by the Company reducing pay, reducing duties and responsibilities, requiring significant additional business travel, or forcing a significant home relocation, all subject to certain notice and cure requirements. The definition of “Change in Control” is also generally similar in each agreement, and as general matter requires a change in majority ownership of the Company or sale of all or majority of the Company’s assets. The specific definitions can be found in the Offer Letter and Executive Severance Plan, as publicly filed with our Annual Report on Form 10-K.</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pacing w:val="-1"/>
          <w:sz w:val="19"/>
          <w:shd w:fill="FFFFFF" w:val="clear"/>
        </w:rPr>
      </w:pPr>
      <w:r>
        <w:rPr>
          <w:rFonts w:ascii="Arial;Helvetica;sans-serif" w:hAnsi="Arial;Helvetica;sans-serif"/>
          <w:b w:val="false"/>
          <w:i w:val="false"/>
          <w:caps w:val="false"/>
          <w:smallCaps w:val="false"/>
          <w:color w:val="000000"/>
          <w:spacing w:val="-1"/>
          <w:sz w:val="19"/>
          <w:shd w:fill="FFFFFF" w:val="clear"/>
        </w:rPr>
        <w:t xml:space="preserve">In each case, the amount and type of severance payments vary based on whether the qualifying termination occurs during a CIC Period, defined as the period beginning 6 months before and ending 18 months after a Change in Control.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71</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50" w:before="120" w:after="283"/>
        <w:ind w:left="89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In each case, payments received in connection with a Change in Control can potentially trigger excise taxes under Sections 280G and 4999 of the Code. The relevant agreements and Executive Severance Plan do not provide gross-up payments for these excise taxes. Instead, payments are required to be scaled back to an amount that would reduce the excise taxes, if such reduction would result in the NEO retaining a larger amount on an after-tax basis.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Payments under the Offer Letter and the Executive Severance Plan are conditioned on the NEO providing the Company with a release of claims and complying with applicable post-employment covenants, which include protection of confidential Company information, assignment of inventions, non-competition, and non-solicitation of customers and employees.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360" w:before="280" w:after="283"/>
        <w:jc w:val="left"/>
        <w:rPr>
          <w:rFonts w:ascii="Tahoma;Geneva;sans-serif" w:hAnsi="Tahoma;Geneva;sans-serif"/>
          <w:b/>
          <w:i w:val="false"/>
          <w:caps w:val="false"/>
          <w:smallCaps w:val="false"/>
          <w:color w:val="4C4C4C"/>
          <w:sz w:val="32"/>
          <w:shd w:fill="FFFFFF" w:val="clear"/>
        </w:rPr>
      </w:pPr>
      <w:r>
        <w:rPr>
          <w:rFonts w:ascii="Tahoma;Geneva;sans-serif" w:hAnsi="Tahoma;Geneva;sans-serif"/>
          <w:b/>
          <w:i w:val="false"/>
          <w:caps w:val="false"/>
          <w:smallCaps w:val="false"/>
          <w:color w:val="4C4C4C"/>
          <w:sz w:val="32"/>
          <w:shd w:fill="FFFFFF" w:val="clear"/>
        </w:rPr>
        <w:t>OFFER LETTER — JAMES R. ANDERSON</w:t>
      </w:r>
      <w:r>
        <w:rPr>
          <w:rFonts w:ascii="Tahoma;Geneva;sans-serif" w:hAnsi="Tahoma;Geneva;sans-serif"/>
          <w:b/>
          <w:i w:val="false"/>
          <w:caps w:val="false"/>
          <w:smallCaps w:val="false"/>
          <w:color w:val="000000"/>
          <w:spacing w:val="6"/>
          <w:sz w:val="32"/>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Mr. Anderson’s Offer Letter sets forth the terms and conditions of his severance benefits (in addition to the equity vesting described in the preceding section), depending on whether the qualifying termination occurs during a CIC Period, summarized as follows: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5" w:before="180"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i w:val="false"/>
          <w:caps w:val="false"/>
          <w:smallCaps w:val="false"/>
          <w:color w:val="000000"/>
          <w:spacing w:val="0"/>
          <w:sz w:val="19"/>
          <w:shd w:fill="FFFFFF" w:val="clear"/>
        </w:rPr>
        <w:t>Qualifying Termination Not During a CIC Period</w:t>
      </w:r>
      <w:r>
        <w:rPr>
          <w:rFonts w:ascii="Arial;Helvetica;sans-serif" w:hAnsi="Arial;Helvetica;sans-serif"/>
          <w:b w:val="false"/>
          <w:i w:val="false"/>
          <w:caps w:val="false"/>
          <w:smallCaps w:val="false"/>
          <w:color w:val="000000"/>
          <w:spacing w:val="-1"/>
          <w:sz w:val="19"/>
          <w:shd w:fill="FFFFFF" w:val="clear"/>
        </w:rPr>
        <w:t xml:space="preserve">. If Mr. Anderson’s employment is terminated by the Company without Cause, or by Mr. Anderson for Good Reason, and such termination is not during a CIC Period, after providing the Company with a release, the Company will pay Mr. Anderson cash severance in an amount equal to 24 times his then current monthly salary </w:t>
      </w:r>
      <w:r>
        <w:rPr>
          <w:rFonts w:ascii="Arial;Helvetica;sans-serif" w:hAnsi="Arial;Helvetica;sans-serif"/>
          <w:b w:val="false"/>
          <w:i w:val="false"/>
          <w:caps w:val="false"/>
          <w:smallCaps w:val="false"/>
          <w:color w:val="000000"/>
          <w:spacing w:val="-1"/>
          <w:sz w:val="19"/>
          <w:u w:val="single"/>
          <w:shd w:fill="FFFFFF" w:val="clear"/>
        </w:rPr>
        <w:t>plus</w:t>
      </w:r>
      <w:r>
        <w:rPr>
          <w:rFonts w:ascii="Arial;Helvetica;sans-serif" w:hAnsi="Arial;Helvetica;sans-serif"/>
          <w:b w:val="false"/>
          <w:i w:val="false"/>
          <w:caps w:val="false"/>
          <w:smallCaps w:val="false"/>
          <w:color w:val="000000"/>
          <w:spacing w:val="-1"/>
          <w:sz w:val="19"/>
          <w:shd w:fill="FFFFFF" w:val="clear"/>
        </w:rPr>
        <w:t xml:space="preserve"> any bonus that Mr. Anderson would have earned had his employment continued through the end of the fiscal year in which his employment was terminated. The Company will also pay the premiums for health insurance coverage for a period of 24 months. These payments will be made in a cash lump shortly after the date of termination.</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76200" distR="0" simplePos="0" locked="0" layoutInCell="1" allowOverlap="1" relativeHeight="404">
                <wp:simplePos x="0" y="0"/>
                <wp:positionH relativeFrom="column">
                  <wp:align>left</wp:align>
                </wp:positionH>
                <wp:positionV relativeFrom="line">
                  <wp:align>top</wp:align>
                </wp:positionV>
                <wp:extent cx="127000" cy="350520"/>
                <wp:effectExtent l="0" t="0" r="0" b="0"/>
                <wp:wrapSquare wrapText="right"/>
                <wp:docPr id="412"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9pt;mso-wrap-distance-bottom:0pt;margin-top:9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80"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i w:val="false"/>
          <w:caps w:val="false"/>
          <w:smallCaps w:val="false"/>
          <w:color w:val="000000"/>
          <w:spacing w:val="0"/>
          <w:sz w:val="19"/>
          <w:shd w:fill="FFFFFF" w:val="clear"/>
        </w:rPr>
        <w:t>Qualifying Termination During a CIC Period</w:t>
      </w:r>
      <w:r>
        <w:rPr>
          <w:rFonts w:ascii="Arial;Helvetica;sans-serif" w:hAnsi="Arial;Helvetica;sans-serif"/>
          <w:b w:val="false"/>
          <w:i w:val="false"/>
          <w:caps w:val="false"/>
          <w:smallCaps w:val="false"/>
          <w:color w:val="000000"/>
          <w:spacing w:val="-1"/>
          <w:sz w:val="19"/>
          <w:shd w:fill="FFFFFF" w:val="clear"/>
        </w:rPr>
        <w:t>. If Mr. Anderson’s employment is terminated by the Company without Cause, or by Mr. Anderson for Good Reason, and such termination occurs during a CIC Period, after providing the Company with a release, the Company will pay Mr. Anderson cash severance in an amount equal to 36 times his then current monthly salary plus three times the amount of the target bonus for the fiscal year in which his employment was terminated. The Company will also pay the premiums for health insurance coverage for a period of 36 months. Finally, the Company will pay to Mr. Anderson an amount equal to a pro-rata portion of his “CIC Period Bonus” ​(defined generally as the greater of his target or actual annual incentive award for the year of termination or the year in which the Change in Control occurred) plus any annual incentive award owed to Mr. Anderson for the year preceding Mr. Anderson’s termination. These payments will be made in a cash lump sum shortly after the date of termination, provided that special rules apply if Mr. Anderson’s termination occurs during the portion of the CIC Period preceding the Change in Control.</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76200" distR="0" simplePos="0" locked="0" layoutInCell="1" allowOverlap="1" relativeHeight="405">
                <wp:simplePos x="0" y="0"/>
                <wp:positionH relativeFrom="column">
                  <wp:align>left</wp:align>
                </wp:positionH>
                <wp:positionV relativeFrom="line">
                  <wp:align>top</wp:align>
                </wp:positionV>
                <wp:extent cx="127000" cy="350520"/>
                <wp:effectExtent l="0" t="0" r="0" b="0"/>
                <wp:wrapSquare wrapText="right"/>
                <wp:docPr id="413"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9pt;mso-wrap-distance-bottom:0pt;margin-top:9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following tables summarize the estimated severance payments that Mr. Anderson would have been entitled to receive assuming that a termination of his employment occurred as of June 30, 2026.</w:t>
      </w:r>
      <w:r>
        <w:rPr>
          <w:rFonts w:ascii="Arial;Helvetica;sans-serif" w:hAnsi="Arial;Helvetica;sans-serif"/>
          <w:b w:val="false"/>
          <w:i w:val="false"/>
          <w:caps w:val="false"/>
          <w:smallCaps w:val="false"/>
          <w:color w:val="000000"/>
          <w:spacing w:val="4"/>
          <w:sz w:val="19"/>
          <w:shd w:fill="FFFFFF" w:val="clear"/>
        </w:rPr>
        <w:t xml:space="preserve"> </w:t>
      </w:r>
    </w:p>
    <w:tbl>
      <w:tblPr>
        <w:tblW w:w="9442" w:type="dxa"/>
        <w:jc w:val="left"/>
        <w:tblInd w:w="893" w:type="dxa"/>
        <w:tblLayout w:type="fixed"/>
        <w:tblCellMar>
          <w:top w:w="0" w:type="dxa"/>
          <w:left w:w="0" w:type="dxa"/>
          <w:bottom w:w="0" w:type="dxa"/>
          <w:right w:w="0" w:type="dxa"/>
        </w:tblCellMar>
      </w:tblPr>
      <w:tblGrid>
        <w:gridCol w:w="124"/>
        <w:gridCol w:w="1111"/>
        <w:gridCol w:w="109"/>
        <w:gridCol w:w="109"/>
        <w:gridCol w:w="1251"/>
        <w:gridCol w:w="109"/>
        <w:gridCol w:w="109"/>
        <w:gridCol w:w="1081"/>
        <w:gridCol w:w="109"/>
        <w:gridCol w:w="109"/>
        <w:gridCol w:w="1126"/>
        <w:gridCol w:w="109"/>
        <w:gridCol w:w="109"/>
        <w:gridCol w:w="1058"/>
        <w:gridCol w:w="109"/>
        <w:gridCol w:w="109"/>
        <w:gridCol w:w="1171"/>
        <w:gridCol w:w="109"/>
        <w:gridCol w:w="109"/>
        <w:gridCol w:w="1058"/>
        <w:gridCol w:w="154"/>
      </w:tblGrid>
      <w:tr>
        <w:trPr/>
        <w:tc>
          <w:tcPr>
            <w:tcW w:w="124" w:type="dxa"/>
            <w:tcBorders/>
            <w:shd w:fill="000000" w:val="clear"/>
            <w:vAlign w:val="center"/>
          </w:tcPr>
          <w:p>
            <w:pPr>
              <w:pStyle w:val="TableContents"/>
              <w:bidi w:val="0"/>
              <w:spacing w:before="0" w:after="283"/>
              <w:jc w:val="left"/>
              <w:rPr/>
            </w:pPr>
            <w:r>
              <w:rPr/>
              <w:t>​</w:t>
            </w:r>
          </w:p>
        </w:tc>
        <w:tc>
          <w:tcPr>
            <w:tcW w:w="1111" w:type="dxa"/>
            <w:tcBorders/>
            <w:shd w:fill="000000" w:val="clear"/>
            <w:vAlign w:val="center"/>
          </w:tcPr>
          <w:p>
            <w:pPr>
              <w:pStyle w:val="TableContents"/>
              <w:bidi w:val="0"/>
              <w:spacing w:before="0" w:after="0"/>
              <w:jc w:val="left"/>
              <w:rPr/>
            </w:pPr>
            <w:r>
              <w:rPr/>
              <w:t xml:space="preserve">Name of NEO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51" w:type="dxa"/>
            <w:tcBorders/>
            <w:shd w:fill="000000" w:val="clear"/>
            <w:vAlign w:val="center"/>
          </w:tcPr>
          <w:p>
            <w:pPr>
              <w:pStyle w:val="TableContents"/>
              <w:bidi w:val="0"/>
              <w:spacing w:before="0" w:after="0"/>
              <w:jc w:val="left"/>
              <w:rPr/>
            </w:pPr>
            <w:r>
              <w:rPr/>
              <w:t xml:space="preserve">Triggering Event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81" w:type="dxa"/>
            <w:tcBorders/>
            <w:shd w:fill="000000" w:val="clear"/>
            <w:vAlign w:val="center"/>
          </w:tcPr>
          <w:p>
            <w:pPr>
              <w:pStyle w:val="TableContents"/>
              <w:bidi w:val="0"/>
              <w:spacing w:before="0" w:after="0"/>
              <w:jc w:val="center"/>
              <w:rPr/>
            </w:pPr>
            <w:r>
              <w:rPr/>
              <w:t>Cash</w:t>
              <w:br/>
              <w:t>Severance</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26" w:type="dxa"/>
            <w:tcBorders/>
            <w:shd w:fill="000000" w:val="clear"/>
            <w:vAlign w:val="center"/>
          </w:tcPr>
          <w:p>
            <w:pPr>
              <w:pStyle w:val="TableContents"/>
              <w:bidi w:val="0"/>
              <w:spacing w:before="0" w:after="0"/>
              <w:jc w:val="center"/>
              <w:rPr/>
            </w:pPr>
            <w:r>
              <w:rPr/>
              <w:t>Healthcare</w:t>
              <w:br/>
              <w:t>Coverage</w:t>
              <w:br/>
              <w:t>Payments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58" w:type="dxa"/>
            <w:tcBorders/>
            <w:shd w:fill="000000" w:val="clear"/>
            <w:vAlign w:val="center"/>
          </w:tcPr>
          <w:p>
            <w:pPr>
              <w:pStyle w:val="TableContents"/>
              <w:bidi w:val="0"/>
              <w:spacing w:before="0" w:after="0"/>
              <w:jc w:val="center"/>
              <w:rPr/>
            </w:pPr>
            <w:r>
              <w:rPr/>
              <w:t>Pro-rata</w:t>
              <w:br/>
              <w:t>Bonus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71" w:type="dxa"/>
            <w:tcBorders/>
            <w:shd w:fill="000000" w:val="clear"/>
            <w:vAlign w:val="center"/>
          </w:tcPr>
          <w:p>
            <w:pPr>
              <w:pStyle w:val="TableContents"/>
              <w:bidi w:val="0"/>
              <w:spacing w:before="0" w:after="0"/>
              <w:jc w:val="center"/>
              <w:rPr/>
            </w:pPr>
            <w:r>
              <w:rPr/>
              <w:t>Other Post-</w:t>
              <w:br/>
              <w:t>termination</w:t>
              <w:br/>
              <w:t>Benefits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58" w:type="dxa"/>
            <w:tcBorders/>
            <w:shd w:fill="000000" w:val="clear"/>
            <w:vAlign w:val="center"/>
          </w:tcPr>
          <w:p>
            <w:pPr>
              <w:pStyle w:val="TableContents"/>
              <w:bidi w:val="0"/>
              <w:spacing w:before="0" w:after="0"/>
              <w:jc w:val="center"/>
              <w:rPr/>
            </w:pPr>
            <w:r>
              <w:rPr/>
              <w:t>Total</w:t>
              <w:br/>
              <w:t xml:space="preserve">($) </w:t>
            </w:r>
          </w:p>
        </w:tc>
        <w:tc>
          <w:tcPr>
            <w:tcW w:w="154" w:type="dxa"/>
            <w:tcBorders/>
            <w:shd w:fill="000000" w:val="clear"/>
            <w:vAlign w:val="center"/>
          </w:tcPr>
          <w:p>
            <w:pPr>
              <w:pStyle w:val="TableContents"/>
              <w:bidi w:val="0"/>
              <w:spacing w:before="0" w:after="283"/>
              <w:jc w:val="left"/>
              <w:rPr/>
            </w:pPr>
            <w:r>
              <w:rPr/>
              <w:t>​</w:t>
            </w:r>
          </w:p>
        </w:tc>
      </w:tr>
      <w:tr>
        <w:trPr/>
        <w:tc>
          <w:tcPr>
            <w:tcW w:w="124"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111" w:type="dxa"/>
            <w:vMerge w:val="restart"/>
            <w:tcBorders>
              <w:bottom w:val="single" w:sz="2" w:space="0" w:color="666666"/>
            </w:tcBorders>
            <w:tcMar>
              <w:bottom w:w="88" w:type="dxa"/>
            </w:tcMar>
            <w:vAlign w:val="center"/>
          </w:tcPr>
          <w:p>
            <w:pPr>
              <w:pStyle w:val="TableContents"/>
              <w:bidi w:val="0"/>
              <w:spacing w:lineRule="atLeast" w:line="255" w:before="0" w:after="0"/>
              <w:jc w:val="left"/>
              <w:rPr>
                <w:b/>
              </w:rPr>
            </w:pPr>
            <w:r>
              <w:rPr>
                <w:b/>
                <w:spacing w:val="0"/>
              </w:rPr>
              <w:t>James R. Anderson</w:t>
            </w:r>
            <w:r>
              <w:rPr>
                <w:b/>
              </w:rPr>
              <w:t xml:space="preserve"> </w:t>
            </w:r>
          </w:p>
        </w:tc>
        <w:tc>
          <w:tcPr>
            <w:tcW w:w="109"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51" w:type="dxa"/>
            <w:tcBorders>
              <w:bottom w:val="single" w:sz="2" w:space="0" w:color="666666"/>
            </w:tcBorders>
            <w:tcMar>
              <w:bottom w:w="88" w:type="dxa"/>
            </w:tcMar>
            <w:vAlign w:val="center"/>
          </w:tcPr>
          <w:p>
            <w:pPr>
              <w:pStyle w:val="TableContents"/>
              <w:bidi w:val="0"/>
              <w:spacing w:lineRule="atLeast" w:line="255" w:before="0" w:after="0"/>
              <w:jc w:val="left"/>
              <w:rPr>
                <w:spacing w:val="-1"/>
              </w:rPr>
            </w:pPr>
            <w:r>
              <w:rPr>
                <w:spacing w:val="-1"/>
              </w:rPr>
              <w:t xml:space="preserve">Death/Disability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8" w:type="dxa"/>
            </w:tcMar>
            <w:vAlign w:val="center"/>
          </w:tcPr>
          <w:p>
            <w:pPr>
              <w:pStyle w:val="TableContents"/>
              <w:bidi w:val="0"/>
              <w:spacing w:lineRule="atLeast" w:line="255"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8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8" w:type="dxa"/>
            </w:tcMar>
            <w:vAlign w:val="center"/>
          </w:tcPr>
          <w:p>
            <w:pPr>
              <w:pStyle w:val="TableContents"/>
              <w:bidi w:val="0"/>
              <w:spacing w:lineRule="atLeast" w:line="255"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88" w:type="dxa"/>
            </w:tcMar>
            <w:vAlign w:val="center"/>
          </w:tcPr>
          <w:p>
            <w:pPr>
              <w:pStyle w:val="TableContents"/>
              <w:bidi w:val="0"/>
              <w:spacing w:lineRule="atLeast" w:line="255"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8" w:type="dxa"/>
            </w:tcMar>
            <w:vAlign w:val="center"/>
          </w:tcPr>
          <w:p>
            <w:pPr>
              <w:pStyle w:val="TableContents"/>
              <w:bidi w:val="0"/>
              <w:spacing w:lineRule="atLeast" w:line="255" w:before="0" w:after="0"/>
              <w:jc w:val="center"/>
              <w:rPr/>
            </w:pPr>
            <w:r>
              <w:rPr>
                <w:spacing w:val="-1"/>
              </w:rPr>
              <w:t>—</w:t>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111" w:type="dxa"/>
            <w:vMerge w:val="continue"/>
            <w:tcBorders>
              <w:bottom w:val="single" w:sz="2" w:space="0" w:color="666666"/>
            </w:tcBorders>
            <w:tcMar>
              <w:bottom w:w="8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51"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Retirement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111" w:type="dxa"/>
            <w:vMerge w:val="continue"/>
            <w:tcBorders>
              <w:bottom w:val="single" w:sz="2" w:space="0" w:color="666666"/>
            </w:tcBorders>
            <w:tcMar>
              <w:bottom w:w="8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51"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Voluntary Termination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111" w:type="dxa"/>
            <w:vMerge w:val="continue"/>
            <w:tcBorders>
              <w:bottom w:val="single" w:sz="2" w:space="0" w:color="666666"/>
            </w:tcBorders>
            <w:tcMar>
              <w:bottom w:w="8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51"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Termination with Cause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111" w:type="dxa"/>
            <w:vMerge w:val="continue"/>
            <w:tcBorders>
              <w:bottom w:val="single" w:sz="2" w:space="0" w:color="666666"/>
            </w:tcBorders>
            <w:tcMar>
              <w:bottom w:w="8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51" w:type="dxa"/>
            <w:tcBorders>
              <w:bottom w:val="single" w:sz="2" w:space="0" w:color="666666"/>
            </w:tcBorders>
            <w:tcMar>
              <w:bottom w:w="64" w:type="dxa"/>
            </w:tcMar>
            <w:vAlign w:val="center"/>
          </w:tcPr>
          <w:p>
            <w:pPr>
              <w:pStyle w:val="TableContents"/>
              <w:bidi w:val="0"/>
              <w:spacing w:before="0" w:after="283"/>
              <w:jc w:val="left"/>
              <w:rPr>
                <w:spacing w:val="-1"/>
              </w:rPr>
            </w:pPr>
            <w:r>
              <w:rPr>
                <w:spacing w:val="-1"/>
              </w:rPr>
              <w:t xml:space="preserve">Termination Without Cause or for Good Reason (during a non-CIC Period)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64" w:type="dxa"/>
            </w:tcMar>
            <w:vAlign w:val="center"/>
          </w:tcPr>
          <w:p>
            <w:pPr>
              <w:pStyle w:val="TableContents"/>
              <w:bidi w:val="0"/>
              <w:spacing w:before="0" w:after="0"/>
              <w:jc w:val="center"/>
              <w:rPr>
                <w:spacing w:val="-1"/>
              </w:rPr>
            </w:pPr>
            <w:r>
              <w:rPr>
                <w:spacing w:val="-1"/>
              </w:rPr>
              <w:t xml:space="preserve">2,204,800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64" w:type="dxa"/>
            </w:tcMar>
            <w:vAlign w:val="center"/>
          </w:tcPr>
          <w:p>
            <w:pPr>
              <w:pStyle w:val="TableContents"/>
              <w:bidi w:val="0"/>
              <w:spacing w:before="0" w:after="0"/>
              <w:jc w:val="center"/>
              <w:rPr>
                <w:spacing w:val="-1"/>
              </w:rPr>
            </w:pPr>
            <w:r>
              <w:rPr>
                <w:spacing w:val="-1"/>
              </w:rPr>
              <w:t xml:space="preserve">59,352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64" w:type="dxa"/>
            </w:tcMar>
            <w:vAlign w:val="center"/>
          </w:tcPr>
          <w:p>
            <w:pPr>
              <w:pStyle w:val="TableContents"/>
              <w:bidi w:val="0"/>
              <w:spacing w:before="0" w:after="0"/>
              <w:jc w:val="center"/>
              <w:rPr>
                <w:spacing w:val="-1"/>
              </w:rPr>
            </w:pPr>
            <w:r>
              <w:rPr>
                <w:spacing w:val="-1"/>
              </w:rPr>
              <w:t xml:space="preserve">1,818,960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64"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64" w:type="dxa"/>
            </w:tcMar>
            <w:vAlign w:val="center"/>
          </w:tcPr>
          <w:p>
            <w:pPr>
              <w:pStyle w:val="TableContents"/>
              <w:bidi w:val="0"/>
              <w:spacing w:before="0" w:after="0"/>
              <w:jc w:val="center"/>
              <w:rPr>
                <w:spacing w:val="-1"/>
              </w:rPr>
            </w:pPr>
            <w:r>
              <w:rPr>
                <w:spacing w:val="-1"/>
              </w:rPr>
              <w:t xml:space="preserve">4,083,112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111" w:type="dxa"/>
            <w:vMerge w:val="continue"/>
            <w:tcBorders>
              <w:bottom w:val="single" w:sz="2" w:space="0" w:color="666666"/>
            </w:tcBorders>
            <w:tcMar>
              <w:bottom w:w="8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51" w:type="dxa"/>
            <w:tcBorders>
              <w:bottom w:val="single" w:sz="2" w:space="0" w:color="666666"/>
            </w:tcBorders>
            <w:tcMar>
              <w:bottom w:w="64" w:type="dxa"/>
            </w:tcMar>
            <w:vAlign w:val="center"/>
          </w:tcPr>
          <w:p>
            <w:pPr>
              <w:pStyle w:val="TableContents"/>
              <w:bidi w:val="0"/>
              <w:spacing w:before="0" w:after="283"/>
              <w:jc w:val="left"/>
              <w:rPr>
                <w:spacing w:val="-1"/>
              </w:rPr>
            </w:pPr>
            <w:r>
              <w:rPr>
                <w:spacing w:val="-1"/>
              </w:rPr>
              <w:t xml:space="preserve">Termination Without Cause or for Good Reason (during a CIC Period)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64" w:type="dxa"/>
            </w:tcMar>
            <w:vAlign w:val="center"/>
          </w:tcPr>
          <w:p>
            <w:pPr>
              <w:pStyle w:val="TableContents"/>
              <w:bidi w:val="0"/>
              <w:spacing w:before="0" w:after="0"/>
              <w:jc w:val="center"/>
              <w:rPr>
                <w:spacing w:val="-1"/>
              </w:rPr>
            </w:pPr>
            <w:r>
              <w:rPr>
                <w:spacing w:val="-1"/>
              </w:rPr>
              <w:t xml:space="preserve">3,307,200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64" w:type="dxa"/>
            </w:tcMar>
            <w:vAlign w:val="center"/>
          </w:tcPr>
          <w:p>
            <w:pPr>
              <w:pStyle w:val="TableContents"/>
              <w:bidi w:val="0"/>
              <w:spacing w:before="0" w:after="0"/>
              <w:jc w:val="center"/>
              <w:rPr>
                <w:spacing w:val="-1"/>
              </w:rPr>
            </w:pPr>
            <w:r>
              <w:rPr>
                <w:spacing w:val="-1"/>
              </w:rPr>
              <w:t xml:space="preserve">89,029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64" w:type="dxa"/>
            </w:tcMar>
            <w:vAlign w:val="center"/>
          </w:tcPr>
          <w:p>
            <w:pPr>
              <w:pStyle w:val="TableContents"/>
              <w:bidi w:val="0"/>
              <w:spacing w:before="0" w:after="0"/>
              <w:jc w:val="center"/>
              <w:rPr>
                <w:spacing w:val="-1"/>
              </w:rPr>
            </w:pPr>
            <w:r>
              <w:rPr>
                <w:spacing w:val="-1"/>
              </w:rPr>
              <w:t xml:space="preserve">5,456,880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64"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64" w:type="dxa"/>
            </w:tcMar>
            <w:vAlign w:val="center"/>
          </w:tcPr>
          <w:p>
            <w:pPr>
              <w:pStyle w:val="TableContents"/>
              <w:bidi w:val="0"/>
              <w:spacing w:before="0" w:after="0"/>
              <w:jc w:val="center"/>
              <w:rPr/>
            </w:pPr>
            <w:r>
              <w:rPr>
                <w:spacing w:val="-1"/>
              </w:rPr>
              <w:t>8,853,109</w:t>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72</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360" w:before="120" w:after="283"/>
        <w:ind w:left="893" w:right="40" w:hanging="0"/>
        <w:jc w:val="left"/>
        <w:rPr>
          <w:rFonts w:ascii="Tahoma;Geneva;sans-serif" w:hAnsi="Tahoma;Geneva;sans-serif"/>
          <w:b/>
          <w:i w:val="false"/>
          <w:caps w:val="false"/>
          <w:smallCaps w:val="false"/>
          <w:color w:val="4C4C4C"/>
          <w:sz w:val="32"/>
          <w:shd w:fill="FFFFFF" w:val="clear"/>
        </w:rPr>
      </w:pPr>
      <w:r>
        <w:rPr>
          <w:rFonts w:ascii="Tahoma;Geneva;sans-serif" w:hAnsi="Tahoma;Geneva;sans-serif"/>
          <w:b/>
          <w:i w:val="false"/>
          <w:caps w:val="false"/>
          <w:smallCaps w:val="false"/>
          <w:color w:val="4C4C4C"/>
          <w:sz w:val="32"/>
          <w:shd w:fill="FFFFFF" w:val="clear"/>
        </w:rPr>
        <w:t>PARTICIPATION AGREEMENTS/EXECUTIVE SEVERANCE PLAN</w:t>
      </w:r>
      <w:r>
        <w:rPr>
          <w:rFonts w:ascii="Tahoma;Geneva;sans-serif" w:hAnsi="Tahoma;Geneva;sans-serif"/>
          <w:b/>
          <w:i w:val="false"/>
          <w:caps w:val="false"/>
          <w:smallCaps w:val="false"/>
          <w:color w:val="000000"/>
          <w:spacing w:val="6"/>
          <w:sz w:val="32"/>
          <w:shd w:fill="FFFFFF" w:val="clear"/>
        </w:rPr>
        <w:t xml:space="preserve"> </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Executive Severance Plan covers select members of management who are offered coverage and execute a Participation Agreement, which includes each of the NEOs other than Mr. Anderson. Under the terms of the Executive Severance Plan and applicable Participation Agreements, the amount of severance (in addition to the equity vesting described in the preceding section) depends on whether the qualifying termination occurs during a CIC Period, summarized as follows: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5" w:before="190"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i w:val="false"/>
          <w:caps w:val="false"/>
          <w:smallCaps w:val="false"/>
          <w:color w:val="000000"/>
          <w:spacing w:val="0"/>
          <w:sz w:val="19"/>
          <w:shd w:fill="FFFFFF" w:val="clear"/>
        </w:rPr>
        <w:t>Qualifying Termination Not During a CIC Period</w:t>
      </w:r>
      <w:r>
        <w:rPr>
          <w:rFonts w:ascii="Arial;Helvetica;sans-serif" w:hAnsi="Arial;Helvetica;sans-serif"/>
          <w:b w:val="false"/>
          <w:i w:val="false"/>
          <w:caps w:val="false"/>
          <w:smallCaps w:val="false"/>
          <w:color w:val="000000"/>
          <w:spacing w:val="-1"/>
          <w:sz w:val="19"/>
          <w:shd w:fill="FFFFFF" w:val="clear"/>
        </w:rPr>
        <w:t>. If a participant’s employment is terminated by the Company without Cause, or by the participant for Good Reason, and such termination is not during a CIC Period, after providing the Company with a release, the Company will pay the participant an amount equal to (i) 12 months of then-current annual base salary, and (ii) the participant’s target bonus and prorated based on the portion of the year completed prior to the date of termination. The Company will also pay the participant lump sum cash payment equal to the cost of the participant’s health care insurance premiums for a period of 12 months.</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20650" distB="0" distL="76200" distR="0" simplePos="0" locked="0" layoutInCell="1" allowOverlap="1" relativeHeight="406">
                <wp:simplePos x="0" y="0"/>
                <wp:positionH relativeFrom="column">
                  <wp:align>left</wp:align>
                </wp:positionH>
                <wp:positionV relativeFrom="line">
                  <wp:align>top</wp:align>
                </wp:positionV>
                <wp:extent cx="127000" cy="350520"/>
                <wp:effectExtent l="0" t="0" r="0" b="0"/>
                <wp:wrapSquare wrapText="right"/>
                <wp:docPr id="414"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9.5pt;mso-wrap-distance-bottom:0pt;margin-top:9.5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88"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i w:val="false"/>
          <w:caps w:val="false"/>
          <w:smallCaps w:val="false"/>
          <w:color w:val="000000"/>
          <w:spacing w:val="0"/>
          <w:sz w:val="19"/>
          <w:shd w:fill="FFFFFF" w:val="clear"/>
        </w:rPr>
        <w:t>Qualifying Termination During a CIC Period</w:t>
      </w:r>
      <w:r>
        <w:rPr>
          <w:rFonts w:ascii="Arial;Helvetica;sans-serif" w:hAnsi="Arial;Helvetica;sans-serif"/>
          <w:b w:val="false"/>
          <w:i w:val="false"/>
          <w:caps w:val="false"/>
          <w:smallCaps w:val="false"/>
          <w:color w:val="000000"/>
          <w:spacing w:val="-1"/>
          <w:sz w:val="19"/>
          <w:shd w:fill="FFFFFF" w:val="clear"/>
        </w:rPr>
        <w:t>. If a participant’s employment is terminated by the Company without Cause, or by the participant for Good Reason, and such termination is during a CIC Period, after providing the Company with a release, the Company will pay the participant cash severance in an amount equal to 24 times the participant’s then current monthly salary plus two times the amount of the target bonus for the fiscal year in which his employment was terminated, and a prorated bonus based on the portion of the year completed prior to the date of termination The Company will also pay the participant an amount equal to the cost of the participant’s health care insurance premiums for a period of 18 months. These payments will be paid in a cash lump sum shortly after the date of termination.</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9380" distB="0" distL="76200" distR="0" simplePos="0" locked="0" layoutInCell="1" allowOverlap="1" relativeHeight="407">
                <wp:simplePos x="0" y="0"/>
                <wp:positionH relativeFrom="column">
                  <wp:align>left</wp:align>
                </wp:positionH>
                <wp:positionV relativeFrom="line">
                  <wp:align>top</wp:align>
                </wp:positionV>
                <wp:extent cx="127000" cy="350520"/>
                <wp:effectExtent l="0" t="0" r="0" b="0"/>
                <wp:wrapSquare wrapText="right"/>
                <wp:docPr id="415"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9.4pt;mso-wrap-distance-bottom:0pt;margin-top:9.4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following tables summarize the estimated severance payments that each of the NEOs, other than Mr. Anderson, would have been entitled to receive assuming that a termination of employment occurred as of June 30, 2026.</w:t>
      </w:r>
      <w:r>
        <w:rPr>
          <w:rFonts w:ascii="Arial;Helvetica;sans-serif" w:hAnsi="Arial;Helvetica;sans-serif"/>
          <w:b w:val="false"/>
          <w:i w:val="false"/>
          <w:caps w:val="false"/>
          <w:smallCaps w:val="false"/>
          <w:color w:val="000000"/>
          <w:spacing w:val="4"/>
          <w:sz w:val="19"/>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838"/>
        <w:gridCol w:w="109"/>
        <w:gridCol w:w="109"/>
        <w:gridCol w:w="1350"/>
        <w:gridCol w:w="109"/>
        <w:gridCol w:w="109"/>
        <w:gridCol w:w="1081"/>
        <w:gridCol w:w="109"/>
        <w:gridCol w:w="109"/>
        <w:gridCol w:w="1126"/>
        <w:gridCol w:w="109"/>
        <w:gridCol w:w="109"/>
        <w:gridCol w:w="1059"/>
        <w:gridCol w:w="109"/>
        <w:gridCol w:w="109"/>
        <w:gridCol w:w="1171"/>
        <w:gridCol w:w="109"/>
        <w:gridCol w:w="109"/>
        <w:gridCol w:w="1059"/>
        <w:gridCol w:w="156"/>
      </w:tblGrid>
      <w:tr>
        <w:trPr/>
        <w:tc>
          <w:tcPr>
            <w:tcW w:w="124" w:type="dxa"/>
            <w:tcBorders/>
            <w:shd w:fill="000000" w:val="clear"/>
            <w:vAlign w:val="center"/>
          </w:tcPr>
          <w:p>
            <w:pPr>
              <w:pStyle w:val="TableContents"/>
              <w:bidi w:val="0"/>
              <w:spacing w:before="0" w:after="283"/>
              <w:jc w:val="left"/>
              <w:rPr/>
            </w:pPr>
            <w:r>
              <w:rPr/>
              <w:t>​</w:t>
            </w:r>
          </w:p>
        </w:tc>
        <w:tc>
          <w:tcPr>
            <w:tcW w:w="838" w:type="dxa"/>
            <w:tcBorders/>
            <w:shd w:fill="000000" w:val="clear"/>
            <w:vAlign w:val="center"/>
          </w:tcPr>
          <w:p>
            <w:pPr>
              <w:pStyle w:val="TableContents"/>
              <w:bidi w:val="0"/>
              <w:spacing w:before="0" w:after="0"/>
              <w:jc w:val="left"/>
              <w:rPr/>
            </w:pPr>
            <w:r>
              <w:rPr/>
              <w:t xml:space="preserve">Name of NEO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50" w:type="dxa"/>
            <w:tcBorders/>
            <w:shd w:fill="000000" w:val="clear"/>
            <w:vAlign w:val="center"/>
          </w:tcPr>
          <w:p>
            <w:pPr>
              <w:pStyle w:val="TableContents"/>
              <w:bidi w:val="0"/>
              <w:spacing w:before="0" w:after="0"/>
              <w:jc w:val="left"/>
              <w:rPr/>
            </w:pPr>
            <w:r>
              <w:rPr/>
              <w:t xml:space="preserve">Triggering Event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81" w:type="dxa"/>
            <w:tcBorders/>
            <w:shd w:fill="000000" w:val="clear"/>
            <w:vAlign w:val="center"/>
          </w:tcPr>
          <w:p>
            <w:pPr>
              <w:pStyle w:val="TableContents"/>
              <w:bidi w:val="0"/>
              <w:spacing w:before="0" w:after="0"/>
              <w:jc w:val="center"/>
              <w:rPr/>
            </w:pPr>
            <w:r>
              <w:rPr/>
              <w:t>Cash</w:t>
              <w:br/>
              <w:t>Severance</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26" w:type="dxa"/>
            <w:tcBorders/>
            <w:shd w:fill="000000" w:val="clear"/>
            <w:vAlign w:val="center"/>
          </w:tcPr>
          <w:p>
            <w:pPr>
              <w:pStyle w:val="TableContents"/>
              <w:bidi w:val="0"/>
              <w:spacing w:before="0" w:after="0"/>
              <w:jc w:val="center"/>
              <w:rPr/>
            </w:pPr>
            <w:r>
              <w:rPr/>
              <w:t>Healthcare</w:t>
              <w:br/>
              <w:t>Coverage</w:t>
              <w:br/>
              <w:t>Payments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59" w:type="dxa"/>
            <w:tcBorders/>
            <w:shd w:fill="000000" w:val="clear"/>
            <w:vAlign w:val="center"/>
          </w:tcPr>
          <w:p>
            <w:pPr>
              <w:pStyle w:val="TableContents"/>
              <w:bidi w:val="0"/>
              <w:spacing w:before="0" w:after="0"/>
              <w:jc w:val="center"/>
              <w:rPr/>
            </w:pPr>
            <w:r>
              <w:rPr/>
              <w:t>Pro-rata</w:t>
              <w:br/>
              <w:t>Bonus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71" w:type="dxa"/>
            <w:tcBorders/>
            <w:shd w:fill="000000" w:val="clear"/>
            <w:vAlign w:val="center"/>
          </w:tcPr>
          <w:p>
            <w:pPr>
              <w:pStyle w:val="TableContents"/>
              <w:bidi w:val="0"/>
              <w:spacing w:before="0" w:after="0"/>
              <w:jc w:val="center"/>
              <w:rPr/>
            </w:pPr>
            <w:r>
              <w:rPr/>
              <w:t>Other Post-</w:t>
              <w:br/>
              <w:t>termination</w:t>
              <w:br/>
              <w:t>Benefits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59" w:type="dxa"/>
            <w:tcBorders/>
            <w:shd w:fill="000000" w:val="clear"/>
            <w:vAlign w:val="center"/>
          </w:tcPr>
          <w:p>
            <w:pPr>
              <w:pStyle w:val="TableContents"/>
              <w:bidi w:val="0"/>
              <w:spacing w:before="0" w:after="0"/>
              <w:jc w:val="center"/>
              <w:rPr/>
            </w:pPr>
            <w:r>
              <w:rPr/>
              <w:t>Total</w:t>
              <w:br/>
              <w:t xml:space="preserve">($) </w:t>
            </w:r>
          </w:p>
        </w:tc>
        <w:tc>
          <w:tcPr>
            <w:tcW w:w="156" w:type="dxa"/>
            <w:tcBorders/>
            <w:shd w:fill="000000" w:val="clear"/>
            <w:vAlign w:val="center"/>
          </w:tcPr>
          <w:p>
            <w:pPr>
              <w:pStyle w:val="TableContents"/>
              <w:bidi w:val="0"/>
              <w:spacing w:before="0" w:after="283"/>
              <w:jc w:val="left"/>
              <w:rPr/>
            </w:pPr>
            <w:r>
              <w:rPr/>
              <w:t>​</w:t>
            </w:r>
          </w:p>
        </w:tc>
      </w:tr>
      <w:tr>
        <w:trPr/>
        <w:tc>
          <w:tcPr>
            <w:tcW w:w="124"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838" w:type="dxa"/>
            <w:vMerge w:val="restart"/>
            <w:tcBorders>
              <w:bottom w:val="single" w:sz="2" w:space="0" w:color="666666"/>
            </w:tcBorders>
            <w:tcMar>
              <w:bottom w:w="68" w:type="dxa"/>
            </w:tcMar>
            <w:vAlign w:val="center"/>
          </w:tcPr>
          <w:p>
            <w:pPr>
              <w:pStyle w:val="TableContents"/>
              <w:bidi w:val="0"/>
              <w:spacing w:lineRule="atLeast" w:line="255" w:before="0" w:after="0"/>
              <w:jc w:val="left"/>
              <w:rPr>
                <w:b/>
              </w:rPr>
            </w:pPr>
            <w:r>
              <w:rPr>
                <w:b/>
                <w:spacing w:val="0"/>
              </w:rPr>
              <w:t>Sherri Luther</w:t>
            </w:r>
            <w:r>
              <w:rPr>
                <w:b/>
              </w:rPr>
              <w:t xml:space="preserve"> </w:t>
            </w:r>
          </w:p>
        </w:tc>
        <w:tc>
          <w:tcPr>
            <w:tcW w:w="109"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0" w:type="dxa"/>
            <w:tcBorders>
              <w:bottom w:val="single" w:sz="2" w:space="0" w:color="666666"/>
            </w:tcBorders>
            <w:tcMar>
              <w:bottom w:w="68" w:type="dxa"/>
            </w:tcMar>
            <w:vAlign w:val="center"/>
          </w:tcPr>
          <w:p>
            <w:pPr>
              <w:pStyle w:val="TableContents"/>
              <w:bidi w:val="0"/>
              <w:spacing w:lineRule="atLeast" w:line="255" w:before="0" w:after="0"/>
              <w:jc w:val="left"/>
              <w:rPr>
                <w:spacing w:val="-1"/>
              </w:rPr>
            </w:pPr>
            <w:r>
              <w:rPr>
                <w:spacing w:val="-1"/>
              </w:rPr>
              <w:t xml:space="preserve">Death/Disability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68" w:type="dxa"/>
            </w:tcMar>
            <w:vAlign w:val="center"/>
          </w:tcPr>
          <w:p>
            <w:pPr>
              <w:pStyle w:val="TableContents"/>
              <w:bidi w:val="0"/>
              <w:spacing w:lineRule="atLeast" w:line="255"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6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9" w:type="dxa"/>
            <w:tcBorders>
              <w:bottom w:val="single" w:sz="2" w:space="0" w:color="666666"/>
            </w:tcBorders>
            <w:tcMar>
              <w:bottom w:w="68" w:type="dxa"/>
            </w:tcMar>
            <w:vAlign w:val="center"/>
          </w:tcPr>
          <w:p>
            <w:pPr>
              <w:pStyle w:val="TableContents"/>
              <w:bidi w:val="0"/>
              <w:spacing w:lineRule="atLeast" w:line="255"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68" w:type="dxa"/>
            </w:tcMar>
            <w:vAlign w:val="center"/>
          </w:tcPr>
          <w:p>
            <w:pPr>
              <w:pStyle w:val="TableContents"/>
              <w:bidi w:val="0"/>
              <w:spacing w:lineRule="atLeast" w:line="255"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9" w:type="dxa"/>
            <w:tcBorders>
              <w:bottom w:val="single" w:sz="2" w:space="0" w:color="666666"/>
            </w:tcBorders>
            <w:tcMar>
              <w:bottom w:w="68" w:type="dxa"/>
            </w:tcMar>
            <w:vAlign w:val="center"/>
          </w:tcPr>
          <w:p>
            <w:pPr>
              <w:pStyle w:val="TableContents"/>
              <w:bidi w:val="0"/>
              <w:spacing w:lineRule="atLeast" w:line="255" w:before="0" w:after="0"/>
              <w:jc w:val="center"/>
              <w:rPr/>
            </w:pPr>
            <w:r>
              <w:rPr>
                <w:spacing w:val="-1"/>
              </w:rPr>
              <w:t>—</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838" w:type="dxa"/>
            <w:vMerge w:val="continue"/>
            <w:tcBorders>
              <w:bottom w:val="single" w:sz="2" w:space="0" w:color="666666"/>
            </w:tcBorders>
            <w:tcMar>
              <w:bottom w:w="6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0" w:type="dxa"/>
            <w:tcBorders>
              <w:bottom w:val="single" w:sz="2" w:space="0" w:color="666666"/>
            </w:tcBorders>
            <w:tcMar>
              <w:bottom w:w="68" w:type="dxa"/>
            </w:tcMar>
            <w:vAlign w:val="center"/>
          </w:tcPr>
          <w:p>
            <w:pPr>
              <w:pStyle w:val="TableContents"/>
              <w:bidi w:val="0"/>
              <w:spacing w:before="0" w:after="283"/>
              <w:jc w:val="left"/>
              <w:rPr>
                <w:spacing w:val="-1"/>
              </w:rPr>
            </w:pPr>
            <w:r>
              <w:rPr>
                <w:spacing w:val="-1"/>
              </w:rPr>
              <w:t xml:space="preserve">Retirement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9"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9"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838" w:type="dxa"/>
            <w:vMerge w:val="continue"/>
            <w:tcBorders>
              <w:bottom w:val="single" w:sz="2" w:space="0" w:color="666666"/>
            </w:tcBorders>
            <w:tcMar>
              <w:bottom w:w="6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0" w:type="dxa"/>
            <w:tcBorders>
              <w:bottom w:val="single" w:sz="2" w:space="0" w:color="666666"/>
            </w:tcBorders>
            <w:tcMar>
              <w:bottom w:w="68" w:type="dxa"/>
            </w:tcMar>
            <w:vAlign w:val="center"/>
          </w:tcPr>
          <w:p>
            <w:pPr>
              <w:pStyle w:val="TableContents"/>
              <w:bidi w:val="0"/>
              <w:spacing w:before="0" w:after="283"/>
              <w:jc w:val="left"/>
              <w:rPr>
                <w:spacing w:val="-1"/>
              </w:rPr>
            </w:pPr>
            <w:r>
              <w:rPr>
                <w:spacing w:val="-1"/>
              </w:rPr>
              <w:t xml:space="preserve">Voluntary Termination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9"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9"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838" w:type="dxa"/>
            <w:vMerge w:val="continue"/>
            <w:tcBorders>
              <w:bottom w:val="single" w:sz="2" w:space="0" w:color="666666"/>
            </w:tcBorders>
            <w:tcMar>
              <w:bottom w:w="6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0" w:type="dxa"/>
            <w:tcBorders>
              <w:bottom w:val="single" w:sz="2" w:space="0" w:color="666666"/>
            </w:tcBorders>
            <w:tcMar>
              <w:bottom w:w="68" w:type="dxa"/>
            </w:tcMar>
            <w:vAlign w:val="center"/>
          </w:tcPr>
          <w:p>
            <w:pPr>
              <w:pStyle w:val="TableContents"/>
              <w:bidi w:val="0"/>
              <w:spacing w:before="0" w:after="283"/>
              <w:jc w:val="left"/>
              <w:rPr>
                <w:spacing w:val="-1"/>
              </w:rPr>
            </w:pPr>
            <w:r>
              <w:rPr>
                <w:spacing w:val="-1"/>
              </w:rPr>
              <w:t xml:space="preserve">Termination with Cause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9"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9"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838" w:type="dxa"/>
            <w:vMerge w:val="continue"/>
            <w:tcBorders>
              <w:bottom w:val="single" w:sz="2" w:space="0" w:color="666666"/>
            </w:tcBorders>
            <w:tcMar>
              <w:bottom w:w="6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0" w:type="dxa"/>
            <w:tcBorders>
              <w:bottom w:val="single" w:sz="2" w:space="0" w:color="666666"/>
            </w:tcBorders>
            <w:tcMar>
              <w:bottom w:w="44" w:type="dxa"/>
            </w:tcMar>
            <w:vAlign w:val="center"/>
          </w:tcPr>
          <w:p>
            <w:pPr>
              <w:pStyle w:val="TableContents"/>
              <w:bidi w:val="0"/>
              <w:spacing w:before="0" w:after="283"/>
              <w:jc w:val="left"/>
              <w:rPr>
                <w:spacing w:val="-1"/>
              </w:rPr>
            </w:pPr>
            <w:r>
              <w:rPr>
                <w:spacing w:val="-1"/>
              </w:rPr>
              <w:t xml:space="preserve">Termination Without Cause or for Good Reason (outside of a CIC Period)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656,250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25,350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9"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1,115,626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44"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9"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1,797,226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838" w:type="dxa"/>
            <w:vMerge w:val="continue"/>
            <w:tcBorders>
              <w:bottom w:val="single" w:sz="2" w:space="0" w:color="666666"/>
            </w:tcBorders>
            <w:tcMar>
              <w:bottom w:w="6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50" w:type="dxa"/>
            <w:tcBorders>
              <w:bottom w:val="single" w:sz="2" w:space="0" w:color="666666"/>
            </w:tcBorders>
            <w:tcMar>
              <w:bottom w:w="44" w:type="dxa"/>
            </w:tcMar>
            <w:vAlign w:val="center"/>
          </w:tcPr>
          <w:p>
            <w:pPr>
              <w:pStyle w:val="TableContents"/>
              <w:bidi w:val="0"/>
              <w:spacing w:before="0" w:after="283"/>
              <w:jc w:val="left"/>
              <w:rPr>
                <w:spacing w:val="-1"/>
              </w:rPr>
            </w:pPr>
            <w:r>
              <w:rPr>
                <w:spacing w:val="-1"/>
              </w:rPr>
              <w:t xml:space="preserve">Termination Without Cause or for Good Reason (during a CIC Period)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1,312,500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38,025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9"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1,115,626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44"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9" w:type="dxa"/>
            <w:tcBorders>
              <w:bottom w:val="single" w:sz="2" w:space="0" w:color="666666"/>
            </w:tcBorders>
            <w:tcMar>
              <w:bottom w:w="44" w:type="dxa"/>
            </w:tcMar>
            <w:vAlign w:val="center"/>
          </w:tcPr>
          <w:p>
            <w:pPr>
              <w:pStyle w:val="TableContents"/>
              <w:bidi w:val="0"/>
              <w:spacing w:before="0" w:after="0"/>
              <w:jc w:val="center"/>
              <w:rPr/>
            </w:pPr>
            <w:r>
              <w:rPr>
                <w:spacing w:val="-1"/>
              </w:rPr>
              <w:t>2,466,151</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bl>
    <w:tbl>
      <w:tblPr>
        <w:tblW w:w="9272" w:type="dxa"/>
        <w:jc w:val="left"/>
        <w:tblInd w:w="893" w:type="dxa"/>
        <w:tblLayout w:type="fixed"/>
        <w:tblCellMar>
          <w:top w:w="0" w:type="dxa"/>
          <w:left w:w="0" w:type="dxa"/>
          <w:bottom w:w="0" w:type="dxa"/>
          <w:right w:w="0" w:type="dxa"/>
        </w:tblCellMar>
      </w:tblPr>
      <w:tblGrid>
        <w:gridCol w:w="124"/>
        <w:gridCol w:w="760"/>
        <w:gridCol w:w="109"/>
        <w:gridCol w:w="109"/>
        <w:gridCol w:w="1426"/>
        <w:gridCol w:w="109"/>
        <w:gridCol w:w="109"/>
        <w:gridCol w:w="1082"/>
        <w:gridCol w:w="109"/>
        <w:gridCol w:w="109"/>
        <w:gridCol w:w="1126"/>
        <w:gridCol w:w="109"/>
        <w:gridCol w:w="109"/>
        <w:gridCol w:w="1059"/>
        <w:gridCol w:w="109"/>
        <w:gridCol w:w="109"/>
        <w:gridCol w:w="1171"/>
        <w:gridCol w:w="109"/>
        <w:gridCol w:w="109"/>
        <w:gridCol w:w="1059"/>
        <w:gridCol w:w="157"/>
      </w:tblGrid>
      <w:tr>
        <w:trPr/>
        <w:tc>
          <w:tcPr>
            <w:tcW w:w="124" w:type="dxa"/>
            <w:tcBorders/>
            <w:shd w:fill="000000" w:val="clear"/>
            <w:vAlign w:val="center"/>
          </w:tcPr>
          <w:p>
            <w:pPr>
              <w:pStyle w:val="TableContents"/>
              <w:bidi w:val="0"/>
              <w:spacing w:before="0" w:after="283"/>
              <w:jc w:val="left"/>
              <w:rPr/>
            </w:pPr>
            <w:r>
              <w:rPr/>
              <w:t>​</w:t>
            </w:r>
          </w:p>
        </w:tc>
        <w:tc>
          <w:tcPr>
            <w:tcW w:w="760" w:type="dxa"/>
            <w:tcBorders/>
            <w:shd w:fill="000000" w:val="clear"/>
            <w:vAlign w:val="center"/>
          </w:tcPr>
          <w:p>
            <w:pPr>
              <w:pStyle w:val="TableContents"/>
              <w:bidi w:val="0"/>
              <w:spacing w:before="0" w:after="0"/>
              <w:jc w:val="left"/>
              <w:rPr/>
            </w:pPr>
            <w:r>
              <w:rPr/>
              <w:t xml:space="preserve">Name of NEO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26" w:type="dxa"/>
            <w:tcBorders/>
            <w:shd w:fill="000000" w:val="clear"/>
            <w:vAlign w:val="center"/>
          </w:tcPr>
          <w:p>
            <w:pPr>
              <w:pStyle w:val="TableContents"/>
              <w:bidi w:val="0"/>
              <w:spacing w:before="0" w:after="0"/>
              <w:jc w:val="left"/>
              <w:rPr/>
            </w:pPr>
            <w:r>
              <w:rPr/>
              <w:t xml:space="preserve">Triggering Event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82" w:type="dxa"/>
            <w:tcBorders/>
            <w:shd w:fill="000000" w:val="clear"/>
            <w:vAlign w:val="center"/>
          </w:tcPr>
          <w:p>
            <w:pPr>
              <w:pStyle w:val="TableContents"/>
              <w:bidi w:val="0"/>
              <w:spacing w:before="0" w:after="0"/>
              <w:jc w:val="center"/>
              <w:rPr/>
            </w:pPr>
            <w:r>
              <w:rPr/>
              <w:t>Cash</w:t>
              <w:br/>
              <w:t>Severance</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26" w:type="dxa"/>
            <w:tcBorders/>
            <w:shd w:fill="000000" w:val="clear"/>
            <w:vAlign w:val="center"/>
          </w:tcPr>
          <w:p>
            <w:pPr>
              <w:pStyle w:val="TableContents"/>
              <w:bidi w:val="0"/>
              <w:spacing w:before="0" w:after="0"/>
              <w:jc w:val="center"/>
              <w:rPr/>
            </w:pPr>
            <w:r>
              <w:rPr/>
              <w:t>Healthcare</w:t>
              <w:br/>
              <w:t>Coverage</w:t>
              <w:br/>
              <w:t>Payments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59" w:type="dxa"/>
            <w:tcBorders/>
            <w:shd w:fill="000000" w:val="clear"/>
            <w:vAlign w:val="center"/>
          </w:tcPr>
          <w:p>
            <w:pPr>
              <w:pStyle w:val="TableContents"/>
              <w:bidi w:val="0"/>
              <w:spacing w:before="0" w:after="0"/>
              <w:jc w:val="center"/>
              <w:rPr/>
            </w:pPr>
            <w:r>
              <w:rPr/>
              <w:t>Pro-rata</w:t>
              <w:br/>
              <w:t>Bonus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71" w:type="dxa"/>
            <w:tcBorders/>
            <w:shd w:fill="000000" w:val="clear"/>
            <w:vAlign w:val="center"/>
          </w:tcPr>
          <w:p>
            <w:pPr>
              <w:pStyle w:val="TableContents"/>
              <w:bidi w:val="0"/>
              <w:spacing w:before="0" w:after="0"/>
              <w:jc w:val="center"/>
              <w:rPr/>
            </w:pPr>
            <w:r>
              <w:rPr/>
              <w:t>Other Post-</w:t>
              <w:br/>
              <w:t>termination</w:t>
              <w:br/>
              <w:t>Benefits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59" w:type="dxa"/>
            <w:tcBorders/>
            <w:shd w:fill="000000" w:val="clear"/>
            <w:vAlign w:val="center"/>
          </w:tcPr>
          <w:p>
            <w:pPr>
              <w:pStyle w:val="TableContents"/>
              <w:bidi w:val="0"/>
              <w:spacing w:before="0" w:after="0"/>
              <w:jc w:val="center"/>
              <w:rPr/>
            </w:pPr>
            <w:r>
              <w:rPr/>
              <w:t>Total</w:t>
              <w:br/>
              <w:t xml:space="preserve">($) </w:t>
            </w:r>
          </w:p>
        </w:tc>
        <w:tc>
          <w:tcPr>
            <w:tcW w:w="157" w:type="dxa"/>
            <w:tcBorders/>
            <w:shd w:fill="000000" w:val="clear"/>
            <w:vAlign w:val="center"/>
          </w:tcPr>
          <w:p>
            <w:pPr>
              <w:pStyle w:val="TableContents"/>
              <w:bidi w:val="0"/>
              <w:spacing w:before="0" w:after="283"/>
              <w:jc w:val="left"/>
              <w:rPr/>
            </w:pPr>
            <w:r>
              <w:rPr/>
              <w:t>​</w:t>
            </w:r>
          </w:p>
        </w:tc>
      </w:tr>
      <w:tr>
        <w:trPr/>
        <w:tc>
          <w:tcPr>
            <w:tcW w:w="124"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760" w:type="dxa"/>
            <w:vMerge w:val="restart"/>
            <w:tcBorders>
              <w:bottom w:val="single" w:sz="2" w:space="0" w:color="666666"/>
            </w:tcBorders>
            <w:tcMar>
              <w:bottom w:w="68" w:type="dxa"/>
            </w:tcMar>
            <w:vAlign w:val="center"/>
          </w:tcPr>
          <w:p>
            <w:pPr>
              <w:pStyle w:val="TableContents"/>
              <w:bidi w:val="0"/>
              <w:spacing w:lineRule="atLeast" w:line="255" w:before="0" w:after="0"/>
              <w:jc w:val="left"/>
              <w:rPr>
                <w:b/>
              </w:rPr>
            </w:pPr>
            <w:r>
              <w:rPr>
                <w:b/>
                <w:spacing w:val="0"/>
              </w:rPr>
              <w:t>Rob Beard</w:t>
            </w:r>
            <w:r>
              <w:rPr>
                <w:b/>
              </w:rPr>
              <w:t xml:space="preserve"> </w:t>
            </w:r>
          </w:p>
        </w:tc>
        <w:tc>
          <w:tcPr>
            <w:tcW w:w="109"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26" w:type="dxa"/>
            <w:tcBorders>
              <w:bottom w:val="single" w:sz="2" w:space="0" w:color="666666"/>
            </w:tcBorders>
            <w:tcMar>
              <w:bottom w:w="68" w:type="dxa"/>
            </w:tcMar>
            <w:vAlign w:val="center"/>
          </w:tcPr>
          <w:p>
            <w:pPr>
              <w:pStyle w:val="TableContents"/>
              <w:bidi w:val="0"/>
              <w:spacing w:lineRule="atLeast" w:line="255" w:before="0" w:after="0"/>
              <w:jc w:val="left"/>
              <w:rPr>
                <w:spacing w:val="-1"/>
              </w:rPr>
            </w:pPr>
            <w:r>
              <w:rPr>
                <w:spacing w:val="-1"/>
              </w:rPr>
              <w:t xml:space="preserve">Death/Disability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2" w:type="dxa"/>
            <w:tcBorders>
              <w:bottom w:val="single" w:sz="2" w:space="0" w:color="666666"/>
            </w:tcBorders>
            <w:tcMar>
              <w:bottom w:w="68" w:type="dxa"/>
            </w:tcMar>
            <w:vAlign w:val="center"/>
          </w:tcPr>
          <w:p>
            <w:pPr>
              <w:pStyle w:val="TableContents"/>
              <w:bidi w:val="0"/>
              <w:spacing w:lineRule="atLeast" w:line="255"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6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9" w:type="dxa"/>
            <w:tcBorders>
              <w:bottom w:val="single" w:sz="2" w:space="0" w:color="666666"/>
            </w:tcBorders>
            <w:tcMar>
              <w:bottom w:w="68" w:type="dxa"/>
            </w:tcMar>
            <w:vAlign w:val="center"/>
          </w:tcPr>
          <w:p>
            <w:pPr>
              <w:pStyle w:val="TableContents"/>
              <w:bidi w:val="0"/>
              <w:spacing w:lineRule="atLeast" w:line="255"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68" w:type="dxa"/>
            </w:tcMar>
            <w:vAlign w:val="center"/>
          </w:tcPr>
          <w:p>
            <w:pPr>
              <w:pStyle w:val="TableContents"/>
              <w:bidi w:val="0"/>
              <w:spacing w:lineRule="atLeast" w:line="255"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9" w:type="dxa"/>
            <w:tcBorders>
              <w:bottom w:val="single" w:sz="2" w:space="0" w:color="666666"/>
            </w:tcBorders>
            <w:tcMar>
              <w:bottom w:w="68" w:type="dxa"/>
            </w:tcMar>
            <w:vAlign w:val="center"/>
          </w:tcPr>
          <w:p>
            <w:pPr>
              <w:pStyle w:val="TableContents"/>
              <w:bidi w:val="0"/>
              <w:spacing w:lineRule="atLeast" w:line="255" w:before="0" w:after="0"/>
              <w:jc w:val="center"/>
              <w:rPr/>
            </w:pPr>
            <w:r>
              <w:rPr>
                <w:spacing w:val="-1"/>
              </w:rPr>
              <w:t>—</w:t>
            </w:r>
            <w:r>
              <w:rPr/>
              <w:t xml:space="preserve">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760" w:type="dxa"/>
            <w:vMerge w:val="continue"/>
            <w:tcBorders>
              <w:bottom w:val="single" w:sz="2" w:space="0" w:color="666666"/>
            </w:tcBorders>
            <w:tcMar>
              <w:bottom w:w="6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26" w:type="dxa"/>
            <w:tcBorders>
              <w:bottom w:val="single" w:sz="2" w:space="0" w:color="666666"/>
            </w:tcBorders>
            <w:tcMar>
              <w:bottom w:w="68" w:type="dxa"/>
            </w:tcMar>
            <w:vAlign w:val="center"/>
          </w:tcPr>
          <w:p>
            <w:pPr>
              <w:pStyle w:val="TableContents"/>
              <w:bidi w:val="0"/>
              <w:spacing w:before="0" w:after="283"/>
              <w:jc w:val="left"/>
              <w:rPr>
                <w:spacing w:val="-1"/>
              </w:rPr>
            </w:pPr>
            <w:r>
              <w:rPr>
                <w:spacing w:val="-1"/>
              </w:rPr>
              <w:t xml:space="preserve">Retirement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2"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9"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9"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760" w:type="dxa"/>
            <w:vMerge w:val="continue"/>
            <w:tcBorders>
              <w:bottom w:val="single" w:sz="2" w:space="0" w:color="666666"/>
            </w:tcBorders>
            <w:tcMar>
              <w:bottom w:w="6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26" w:type="dxa"/>
            <w:tcBorders>
              <w:bottom w:val="single" w:sz="2" w:space="0" w:color="666666"/>
            </w:tcBorders>
            <w:tcMar>
              <w:bottom w:w="68" w:type="dxa"/>
            </w:tcMar>
            <w:vAlign w:val="center"/>
          </w:tcPr>
          <w:p>
            <w:pPr>
              <w:pStyle w:val="TableContents"/>
              <w:bidi w:val="0"/>
              <w:spacing w:before="0" w:after="283"/>
              <w:jc w:val="left"/>
              <w:rPr>
                <w:spacing w:val="-1"/>
              </w:rPr>
            </w:pPr>
            <w:r>
              <w:rPr>
                <w:spacing w:val="-1"/>
              </w:rPr>
              <w:t xml:space="preserve">Voluntary Termination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2"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9"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9"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760" w:type="dxa"/>
            <w:vMerge w:val="continue"/>
            <w:tcBorders>
              <w:bottom w:val="single" w:sz="2" w:space="0" w:color="666666"/>
            </w:tcBorders>
            <w:tcMar>
              <w:bottom w:w="6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26" w:type="dxa"/>
            <w:tcBorders>
              <w:bottom w:val="single" w:sz="2" w:space="0" w:color="666666"/>
            </w:tcBorders>
            <w:tcMar>
              <w:bottom w:w="68" w:type="dxa"/>
            </w:tcMar>
            <w:vAlign w:val="center"/>
          </w:tcPr>
          <w:p>
            <w:pPr>
              <w:pStyle w:val="TableContents"/>
              <w:bidi w:val="0"/>
              <w:spacing w:before="0" w:after="283"/>
              <w:jc w:val="left"/>
              <w:rPr>
                <w:spacing w:val="-1"/>
              </w:rPr>
            </w:pPr>
            <w:r>
              <w:rPr>
                <w:spacing w:val="-1"/>
              </w:rPr>
              <w:t xml:space="preserve">Termination with Cause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2"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9"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9"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760" w:type="dxa"/>
            <w:vMerge w:val="continue"/>
            <w:tcBorders>
              <w:bottom w:val="single" w:sz="2" w:space="0" w:color="666666"/>
            </w:tcBorders>
            <w:tcMar>
              <w:bottom w:w="6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26" w:type="dxa"/>
            <w:tcBorders>
              <w:bottom w:val="single" w:sz="2" w:space="0" w:color="666666"/>
            </w:tcBorders>
            <w:tcMar>
              <w:bottom w:w="44" w:type="dxa"/>
            </w:tcMar>
            <w:vAlign w:val="center"/>
          </w:tcPr>
          <w:p>
            <w:pPr>
              <w:pStyle w:val="TableContents"/>
              <w:bidi w:val="0"/>
              <w:spacing w:before="0" w:after="283"/>
              <w:jc w:val="left"/>
              <w:rPr>
                <w:spacing w:val="-1"/>
              </w:rPr>
            </w:pPr>
            <w:r>
              <w:rPr>
                <w:spacing w:val="-1"/>
              </w:rPr>
              <w:t xml:space="preserve">Termination Without Cause or for Good Reason (outside of a CIC Period)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2"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686,400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26,579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9"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1,166,880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44"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9"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1,879,859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760" w:type="dxa"/>
            <w:vMerge w:val="continue"/>
            <w:tcBorders>
              <w:bottom w:val="single" w:sz="2" w:space="0" w:color="666666"/>
            </w:tcBorders>
            <w:tcMar>
              <w:bottom w:w="6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26" w:type="dxa"/>
            <w:tcBorders>
              <w:bottom w:val="single" w:sz="2" w:space="0" w:color="666666"/>
            </w:tcBorders>
            <w:tcMar>
              <w:bottom w:w="44" w:type="dxa"/>
            </w:tcMar>
            <w:vAlign w:val="center"/>
          </w:tcPr>
          <w:p>
            <w:pPr>
              <w:pStyle w:val="TableContents"/>
              <w:bidi w:val="0"/>
              <w:spacing w:before="0" w:after="283"/>
              <w:jc w:val="left"/>
              <w:rPr>
                <w:spacing w:val="-1"/>
              </w:rPr>
            </w:pPr>
            <w:r>
              <w:rPr>
                <w:spacing w:val="-1"/>
              </w:rPr>
              <w:t xml:space="preserve">Termination Without Cause or for Good Reason (during a CIC Period)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2"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1,372,800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39,869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9"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1,166,880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44"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9" w:type="dxa"/>
            <w:tcBorders>
              <w:bottom w:val="single" w:sz="2" w:space="0" w:color="666666"/>
            </w:tcBorders>
            <w:tcMar>
              <w:bottom w:w="44" w:type="dxa"/>
            </w:tcMar>
            <w:vAlign w:val="center"/>
          </w:tcPr>
          <w:p>
            <w:pPr>
              <w:pStyle w:val="TableContents"/>
              <w:bidi w:val="0"/>
              <w:spacing w:before="0" w:after="0"/>
              <w:jc w:val="center"/>
              <w:rPr/>
            </w:pPr>
            <w:r>
              <w:rPr>
                <w:spacing w:val="-1"/>
              </w:rPr>
              <w:t>2,579,549</w:t>
            </w:r>
            <w:r>
              <w:rPr/>
              <w:t xml:space="preserve">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73</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732"/>
        <w:gridCol w:w="109"/>
        <w:gridCol w:w="109"/>
        <w:gridCol w:w="1626"/>
        <w:gridCol w:w="109"/>
        <w:gridCol w:w="109"/>
        <w:gridCol w:w="1083"/>
        <w:gridCol w:w="109"/>
        <w:gridCol w:w="109"/>
        <w:gridCol w:w="1126"/>
        <w:gridCol w:w="109"/>
        <w:gridCol w:w="109"/>
        <w:gridCol w:w="883"/>
        <w:gridCol w:w="109"/>
        <w:gridCol w:w="109"/>
        <w:gridCol w:w="1171"/>
        <w:gridCol w:w="109"/>
        <w:gridCol w:w="109"/>
        <w:gridCol w:w="1061"/>
        <w:gridCol w:w="158"/>
      </w:tblGrid>
      <w:tr>
        <w:trPr/>
        <w:tc>
          <w:tcPr>
            <w:tcW w:w="124" w:type="dxa"/>
            <w:tcBorders/>
            <w:shd w:fill="000000" w:val="clear"/>
            <w:vAlign w:val="center"/>
          </w:tcPr>
          <w:p>
            <w:pPr>
              <w:pStyle w:val="TableContents"/>
              <w:bidi w:val="0"/>
              <w:spacing w:before="0" w:after="283"/>
              <w:jc w:val="left"/>
              <w:rPr/>
            </w:pPr>
            <w:r>
              <w:rPr/>
              <w:t>​</w:t>
            </w:r>
          </w:p>
        </w:tc>
        <w:tc>
          <w:tcPr>
            <w:tcW w:w="732" w:type="dxa"/>
            <w:tcBorders/>
            <w:shd w:fill="000000" w:val="clear"/>
            <w:vAlign w:val="center"/>
          </w:tcPr>
          <w:p>
            <w:pPr>
              <w:pStyle w:val="TableContents"/>
              <w:bidi w:val="0"/>
              <w:spacing w:before="0" w:after="0"/>
              <w:jc w:val="left"/>
              <w:rPr/>
            </w:pPr>
            <w:r>
              <w:rPr/>
              <w:t xml:space="preserve">Name of NEO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26" w:type="dxa"/>
            <w:tcBorders/>
            <w:shd w:fill="000000" w:val="clear"/>
            <w:vAlign w:val="center"/>
          </w:tcPr>
          <w:p>
            <w:pPr>
              <w:pStyle w:val="TableContents"/>
              <w:bidi w:val="0"/>
              <w:spacing w:before="0" w:after="0"/>
              <w:jc w:val="left"/>
              <w:rPr/>
            </w:pPr>
            <w:r>
              <w:rPr/>
              <w:t xml:space="preserve">Triggering Event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83" w:type="dxa"/>
            <w:tcBorders/>
            <w:shd w:fill="000000" w:val="clear"/>
            <w:vAlign w:val="center"/>
          </w:tcPr>
          <w:p>
            <w:pPr>
              <w:pStyle w:val="TableContents"/>
              <w:bidi w:val="0"/>
              <w:spacing w:before="0" w:after="0"/>
              <w:jc w:val="center"/>
              <w:rPr/>
            </w:pPr>
            <w:r>
              <w:rPr/>
              <w:t>Cash</w:t>
              <w:br/>
              <w:t>Severance</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26" w:type="dxa"/>
            <w:tcBorders/>
            <w:shd w:fill="000000" w:val="clear"/>
            <w:vAlign w:val="center"/>
          </w:tcPr>
          <w:p>
            <w:pPr>
              <w:pStyle w:val="TableContents"/>
              <w:bidi w:val="0"/>
              <w:spacing w:before="0" w:after="0"/>
              <w:jc w:val="center"/>
              <w:rPr/>
            </w:pPr>
            <w:r>
              <w:rPr/>
              <w:t>Healthcare</w:t>
              <w:br/>
              <w:t>Coverage</w:t>
              <w:br/>
              <w:t>Payments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83" w:type="dxa"/>
            <w:tcBorders/>
            <w:shd w:fill="000000" w:val="clear"/>
            <w:vAlign w:val="center"/>
          </w:tcPr>
          <w:p>
            <w:pPr>
              <w:pStyle w:val="TableContents"/>
              <w:bidi w:val="0"/>
              <w:spacing w:before="0" w:after="0"/>
              <w:jc w:val="center"/>
              <w:rPr/>
            </w:pPr>
            <w:r>
              <w:rPr/>
              <w:t>Pro-rata</w:t>
              <w:br/>
              <w:t>Bonus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71" w:type="dxa"/>
            <w:tcBorders/>
            <w:shd w:fill="000000" w:val="clear"/>
            <w:vAlign w:val="center"/>
          </w:tcPr>
          <w:p>
            <w:pPr>
              <w:pStyle w:val="TableContents"/>
              <w:bidi w:val="0"/>
              <w:spacing w:before="0" w:after="0"/>
              <w:jc w:val="center"/>
              <w:rPr/>
            </w:pPr>
            <w:r>
              <w:rPr/>
              <w:t>Other Post-</w:t>
              <w:br/>
              <w:t>termination</w:t>
              <w:br/>
              <w:t>Benefits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61" w:type="dxa"/>
            <w:tcBorders/>
            <w:shd w:fill="000000" w:val="clear"/>
            <w:vAlign w:val="center"/>
          </w:tcPr>
          <w:p>
            <w:pPr>
              <w:pStyle w:val="TableContents"/>
              <w:bidi w:val="0"/>
              <w:spacing w:before="0" w:after="0"/>
              <w:jc w:val="center"/>
              <w:rPr/>
            </w:pPr>
            <w:r>
              <w:rPr/>
              <w:t>Total</w:t>
              <w:br/>
              <w:t xml:space="preserve">($) </w:t>
            </w:r>
          </w:p>
        </w:tc>
        <w:tc>
          <w:tcPr>
            <w:tcW w:w="158" w:type="dxa"/>
            <w:tcBorders/>
            <w:shd w:fill="000000" w:val="clear"/>
            <w:vAlign w:val="center"/>
          </w:tcPr>
          <w:p>
            <w:pPr>
              <w:pStyle w:val="TableContents"/>
              <w:bidi w:val="0"/>
              <w:spacing w:before="0" w:after="283"/>
              <w:jc w:val="left"/>
              <w:rPr/>
            </w:pPr>
            <w:r>
              <w:rPr/>
              <w:t>​</w:t>
            </w:r>
          </w:p>
        </w:tc>
      </w:tr>
      <w:tr>
        <w:trPr/>
        <w:tc>
          <w:tcPr>
            <w:tcW w:w="124"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732" w:type="dxa"/>
            <w:vMerge w:val="restart"/>
            <w:tcBorders>
              <w:bottom w:val="single" w:sz="2" w:space="0" w:color="666666"/>
            </w:tcBorders>
            <w:tcMar>
              <w:bottom w:w="68" w:type="dxa"/>
            </w:tcMar>
            <w:vAlign w:val="center"/>
          </w:tcPr>
          <w:p>
            <w:pPr>
              <w:pStyle w:val="TableContents"/>
              <w:bidi w:val="0"/>
              <w:spacing w:lineRule="atLeast" w:line="255" w:before="0" w:after="0"/>
              <w:jc w:val="left"/>
              <w:rPr>
                <w:b/>
              </w:rPr>
            </w:pPr>
            <w:r>
              <w:rPr>
                <w:b/>
                <w:spacing w:val="0"/>
              </w:rPr>
              <w:t>Julie Eng</w:t>
            </w:r>
            <w:r>
              <w:rPr>
                <w:b/>
              </w:rPr>
              <w:t xml:space="preserve"> </w:t>
            </w:r>
          </w:p>
        </w:tc>
        <w:tc>
          <w:tcPr>
            <w:tcW w:w="109"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626" w:type="dxa"/>
            <w:tcBorders>
              <w:bottom w:val="single" w:sz="2" w:space="0" w:color="666666"/>
            </w:tcBorders>
            <w:tcMar>
              <w:bottom w:w="68" w:type="dxa"/>
            </w:tcMar>
            <w:vAlign w:val="center"/>
          </w:tcPr>
          <w:p>
            <w:pPr>
              <w:pStyle w:val="TableContents"/>
              <w:bidi w:val="0"/>
              <w:spacing w:lineRule="atLeast" w:line="255" w:before="0" w:after="0"/>
              <w:jc w:val="left"/>
              <w:rPr>
                <w:spacing w:val="-1"/>
              </w:rPr>
            </w:pPr>
            <w:r>
              <w:rPr>
                <w:spacing w:val="-1"/>
              </w:rPr>
              <w:t xml:space="preserve">Death/Disability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3" w:type="dxa"/>
            <w:tcBorders>
              <w:bottom w:val="single" w:sz="2" w:space="0" w:color="666666"/>
            </w:tcBorders>
            <w:tcMar>
              <w:bottom w:w="68" w:type="dxa"/>
            </w:tcMar>
            <w:vAlign w:val="center"/>
          </w:tcPr>
          <w:p>
            <w:pPr>
              <w:pStyle w:val="TableContents"/>
              <w:bidi w:val="0"/>
              <w:spacing w:lineRule="atLeast" w:line="255"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6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3" w:type="dxa"/>
            <w:tcBorders>
              <w:bottom w:val="single" w:sz="2" w:space="0" w:color="666666"/>
            </w:tcBorders>
            <w:tcMar>
              <w:bottom w:w="68" w:type="dxa"/>
            </w:tcMar>
            <w:vAlign w:val="center"/>
          </w:tcPr>
          <w:p>
            <w:pPr>
              <w:pStyle w:val="TableContents"/>
              <w:bidi w:val="0"/>
              <w:spacing w:lineRule="atLeast" w:line="255"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68" w:type="dxa"/>
            </w:tcMar>
            <w:vAlign w:val="center"/>
          </w:tcPr>
          <w:p>
            <w:pPr>
              <w:pStyle w:val="TableContents"/>
              <w:bidi w:val="0"/>
              <w:spacing w:lineRule="atLeast" w:line="255"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1" w:type="dxa"/>
            <w:tcBorders>
              <w:bottom w:val="single" w:sz="2" w:space="0" w:color="666666"/>
            </w:tcBorders>
            <w:tcMar>
              <w:bottom w:w="68" w:type="dxa"/>
            </w:tcMar>
            <w:vAlign w:val="center"/>
          </w:tcPr>
          <w:p>
            <w:pPr>
              <w:pStyle w:val="TableContents"/>
              <w:bidi w:val="0"/>
              <w:spacing w:lineRule="atLeast" w:line="255" w:before="0" w:after="0"/>
              <w:jc w:val="center"/>
              <w:rPr/>
            </w:pPr>
            <w:r>
              <w:rPr>
                <w:spacing w:val="-1"/>
              </w:rPr>
              <w:t>—</w:t>
            </w:r>
            <w:r>
              <w:rPr/>
              <w:t xml:space="preserve"> </w:t>
            </w:r>
          </w:p>
        </w:tc>
        <w:tc>
          <w:tcPr>
            <w:tcW w:w="158"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732" w:type="dxa"/>
            <w:vMerge w:val="continue"/>
            <w:tcBorders>
              <w:bottom w:val="single" w:sz="2" w:space="0" w:color="666666"/>
            </w:tcBorders>
            <w:tcMar>
              <w:bottom w:w="6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626" w:type="dxa"/>
            <w:tcBorders>
              <w:bottom w:val="single" w:sz="2" w:space="0" w:color="666666"/>
            </w:tcBorders>
            <w:tcMar>
              <w:bottom w:w="68" w:type="dxa"/>
            </w:tcMar>
            <w:vAlign w:val="center"/>
          </w:tcPr>
          <w:p>
            <w:pPr>
              <w:pStyle w:val="TableContents"/>
              <w:bidi w:val="0"/>
              <w:spacing w:before="0" w:after="283"/>
              <w:jc w:val="left"/>
              <w:rPr>
                <w:spacing w:val="-1"/>
              </w:rPr>
            </w:pPr>
            <w:r>
              <w:rPr>
                <w:spacing w:val="-1"/>
              </w:rPr>
              <w:t xml:space="preserve">Retirement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3"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3"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1"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58"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732" w:type="dxa"/>
            <w:vMerge w:val="continue"/>
            <w:tcBorders>
              <w:bottom w:val="single" w:sz="2" w:space="0" w:color="666666"/>
            </w:tcBorders>
            <w:tcMar>
              <w:bottom w:w="6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626" w:type="dxa"/>
            <w:tcBorders>
              <w:bottom w:val="single" w:sz="2" w:space="0" w:color="666666"/>
            </w:tcBorders>
            <w:tcMar>
              <w:bottom w:w="68" w:type="dxa"/>
            </w:tcMar>
            <w:vAlign w:val="center"/>
          </w:tcPr>
          <w:p>
            <w:pPr>
              <w:pStyle w:val="TableContents"/>
              <w:bidi w:val="0"/>
              <w:spacing w:before="0" w:after="283"/>
              <w:jc w:val="left"/>
              <w:rPr>
                <w:spacing w:val="-1"/>
              </w:rPr>
            </w:pPr>
            <w:r>
              <w:rPr>
                <w:spacing w:val="-1"/>
              </w:rPr>
              <w:t xml:space="preserve">Voluntary Termination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3"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3"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1"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58"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732" w:type="dxa"/>
            <w:vMerge w:val="continue"/>
            <w:tcBorders>
              <w:bottom w:val="single" w:sz="2" w:space="0" w:color="666666"/>
            </w:tcBorders>
            <w:tcMar>
              <w:bottom w:w="6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626" w:type="dxa"/>
            <w:tcBorders>
              <w:bottom w:val="single" w:sz="2" w:space="0" w:color="666666"/>
            </w:tcBorders>
            <w:tcMar>
              <w:bottom w:w="68" w:type="dxa"/>
            </w:tcMar>
            <w:vAlign w:val="center"/>
          </w:tcPr>
          <w:p>
            <w:pPr>
              <w:pStyle w:val="TableContents"/>
              <w:bidi w:val="0"/>
              <w:spacing w:before="0" w:after="283"/>
              <w:jc w:val="left"/>
              <w:rPr>
                <w:spacing w:val="-1"/>
              </w:rPr>
            </w:pPr>
            <w:r>
              <w:rPr>
                <w:spacing w:val="-1"/>
              </w:rPr>
              <w:t xml:space="preserve">Termination with Cause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3"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3"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1"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58"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732" w:type="dxa"/>
            <w:vMerge w:val="continue"/>
            <w:tcBorders>
              <w:bottom w:val="single" w:sz="2" w:space="0" w:color="666666"/>
            </w:tcBorders>
            <w:tcMar>
              <w:bottom w:w="6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626" w:type="dxa"/>
            <w:tcBorders>
              <w:bottom w:val="single" w:sz="2" w:space="0" w:color="666666"/>
            </w:tcBorders>
            <w:tcMar>
              <w:bottom w:w="44" w:type="dxa"/>
            </w:tcMar>
            <w:vAlign w:val="center"/>
          </w:tcPr>
          <w:p>
            <w:pPr>
              <w:pStyle w:val="TableContents"/>
              <w:bidi w:val="0"/>
              <w:spacing w:before="0" w:after="283"/>
              <w:jc w:val="left"/>
              <w:rPr>
                <w:spacing w:val="-1"/>
              </w:rPr>
            </w:pPr>
            <w:r>
              <w:rPr>
                <w:spacing w:val="-1"/>
              </w:rPr>
              <w:t xml:space="preserve">Termination Without Cause or for Good Reason (outside of a CIC Period)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3"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551,694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29,676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3"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937,880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44"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1"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1,519,250 </w:t>
            </w:r>
          </w:p>
        </w:tc>
        <w:tc>
          <w:tcPr>
            <w:tcW w:w="158"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732" w:type="dxa"/>
            <w:vMerge w:val="continue"/>
            <w:tcBorders>
              <w:bottom w:val="single" w:sz="2" w:space="0" w:color="666666"/>
            </w:tcBorders>
            <w:tcMar>
              <w:bottom w:w="6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626" w:type="dxa"/>
            <w:tcBorders>
              <w:bottom w:val="single" w:sz="2" w:space="0" w:color="666666"/>
            </w:tcBorders>
            <w:tcMar>
              <w:bottom w:w="44" w:type="dxa"/>
            </w:tcMar>
            <w:vAlign w:val="center"/>
          </w:tcPr>
          <w:p>
            <w:pPr>
              <w:pStyle w:val="TableContents"/>
              <w:bidi w:val="0"/>
              <w:spacing w:before="0" w:after="283"/>
              <w:jc w:val="left"/>
              <w:rPr>
                <w:spacing w:val="-1"/>
              </w:rPr>
            </w:pPr>
            <w:r>
              <w:rPr>
                <w:spacing w:val="-1"/>
              </w:rPr>
              <w:t xml:space="preserve">Termination Without Cause or for Good Reason (during a CIC Period)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3"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1,103,388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44,514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3"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937,880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44"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1" w:type="dxa"/>
            <w:tcBorders>
              <w:bottom w:val="single" w:sz="2" w:space="0" w:color="666666"/>
            </w:tcBorders>
            <w:tcMar>
              <w:bottom w:w="44" w:type="dxa"/>
            </w:tcMar>
            <w:vAlign w:val="center"/>
          </w:tcPr>
          <w:p>
            <w:pPr>
              <w:pStyle w:val="TableContents"/>
              <w:bidi w:val="0"/>
              <w:spacing w:before="0" w:after="0"/>
              <w:jc w:val="center"/>
              <w:rPr/>
            </w:pPr>
            <w:r>
              <w:rPr>
                <w:spacing w:val="-1"/>
              </w:rPr>
              <w:t>2,085,782</w:t>
            </w:r>
            <w:r>
              <w:rPr/>
              <w:t xml:space="preserve"> </w:t>
            </w:r>
          </w:p>
        </w:tc>
        <w:tc>
          <w:tcPr>
            <w:tcW w:w="158" w:type="dxa"/>
            <w:tcBorders>
              <w:bottom w:val="single" w:sz="2" w:space="0" w:color="666666"/>
            </w:tcBorders>
            <w:tcMar>
              <w:bottom w:w="28" w:type="dxa"/>
            </w:tcMar>
            <w:vAlign w:val="center"/>
          </w:tcPr>
          <w:p>
            <w:pPr>
              <w:pStyle w:val="TableContents"/>
              <w:bidi w:val="0"/>
              <w:spacing w:before="0" w:after="283"/>
              <w:jc w:val="left"/>
              <w:rPr/>
            </w:pPr>
            <w:r>
              <w:rPr/>
              <w:t>​</w:t>
            </w:r>
          </w:p>
        </w:tc>
      </w:tr>
    </w:tbl>
    <w:tbl>
      <w:tblPr>
        <w:tblW w:w="9272" w:type="dxa"/>
        <w:jc w:val="left"/>
        <w:tblInd w:w="893" w:type="dxa"/>
        <w:tblLayout w:type="fixed"/>
        <w:tblCellMar>
          <w:top w:w="0" w:type="dxa"/>
          <w:left w:w="0" w:type="dxa"/>
          <w:bottom w:w="0" w:type="dxa"/>
          <w:right w:w="0" w:type="dxa"/>
        </w:tblCellMar>
      </w:tblPr>
      <w:tblGrid>
        <w:gridCol w:w="124"/>
        <w:gridCol w:w="844"/>
        <w:gridCol w:w="109"/>
        <w:gridCol w:w="109"/>
        <w:gridCol w:w="1517"/>
        <w:gridCol w:w="109"/>
        <w:gridCol w:w="109"/>
        <w:gridCol w:w="1082"/>
        <w:gridCol w:w="109"/>
        <w:gridCol w:w="109"/>
        <w:gridCol w:w="1126"/>
        <w:gridCol w:w="109"/>
        <w:gridCol w:w="109"/>
        <w:gridCol w:w="882"/>
        <w:gridCol w:w="109"/>
        <w:gridCol w:w="109"/>
        <w:gridCol w:w="1171"/>
        <w:gridCol w:w="109"/>
        <w:gridCol w:w="109"/>
        <w:gridCol w:w="1060"/>
        <w:gridCol w:w="158"/>
      </w:tblGrid>
      <w:tr>
        <w:trPr/>
        <w:tc>
          <w:tcPr>
            <w:tcW w:w="124" w:type="dxa"/>
            <w:tcBorders/>
            <w:shd w:fill="000000" w:val="clear"/>
            <w:vAlign w:val="center"/>
          </w:tcPr>
          <w:p>
            <w:pPr>
              <w:pStyle w:val="TableContents"/>
              <w:bidi w:val="0"/>
              <w:spacing w:before="0" w:after="283"/>
              <w:jc w:val="left"/>
              <w:rPr/>
            </w:pPr>
            <w:r>
              <w:rPr/>
              <w:t>​</w:t>
            </w:r>
          </w:p>
        </w:tc>
        <w:tc>
          <w:tcPr>
            <w:tcW w:w="844" w:type="dxa"/>
            <w:tcBorders/>
            <w:shd w:fill="000000" w:val="clear"/>
            <w:vAlign w:val="center"/>
          </w:tcPr>
          <w:p>
            <w:pPr>
              <w:pStyle w:val="TableContents"/>
              <w:bidi w:val="0"/>
              <w:spacing w:before="0" w:after="0"/>
              <w:jc w:val="left"/>
              <w:rPr/>
            </w:pPr>
            <w:r>
              <w:rPr/>
              <w:t xml:space="preserve">Name of NEO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17" w:type="dxa"/>
            <w:tcBorders/>
            <w:shd w:fill="000000" w:val="clear"/>
            <w:vAlign w:val="center"/>
          </w:tcPr>
          <w:p>
            <w:pPr>
              <w:pStyle w:val="TableContents"/>
              <w:bidi w:val="0"/>
              <w:spacing w:before="0" w:after="0"/>
              <w:jc w:val="left"/>
              <w:rPr/>
            </w:pPr>
            <w:r>
              <w:rPr/>
              <w:t xml:space="preserve">Triggering Event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82" w:type="dxa"/>
            <w:tcBorders/>
            <w:shd w:fill="000000" w:val="clear"/>
            <w:vAlign w:val="center"/>
          </w:tcPr>
          <w:p>
            <w:pPr>
              <w:pStyle w:val="TableContents"/>
              <w:bidi w:val="0"/>
              <w:spacing w:before="0" w:after="0"/>
              <w:jc w:val="center"/>
              <w:rPr/>
            </w:pPr>
            <w:r>
              <w:rPr/>
              <w:t>Cash</w:t>
              <w:br/>
              <w:t>Severance</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26" w:type="dxa"/>
            <w:tcBorders/>
            <w:shd w:fill="000000" w:val="clear"/>
            <w:vAlign w:val="center"/>
          </w:tcPr>
          <w:p>
            <w:pPr>
              <w:pStyle w:val="TableContents"/>
              <w:bidi w:val="0"/>
              <w:spacing w:before="0" w:after="0"/>
              <w:jc w:val="center"/>
              <w:rPr/>
            </w:pPr>
            <w:r>
              <w:rPr/>
              <w:t>Healthcare</w:t>
              <w:br/>
              <w:t>Coverage</w:t>
              <w:br/>
              <w:t>Payments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82" w:type="dxa"/>
            <w:tcBorders/>
            <w:shd w:fill="000000" w:val="clear"/>
            <w:vAlign w:val="center"/>
          </w:tcPr>
          <w:p>
            <w:pPr>
              <w:pStyle w:val="TableContents"/>
              <w:bidi w:val="0"/>
              <w:spacing w:before="0" w:after="0"/>
              <w:jc w:val="center"/>
              <w:rPr/>
            </w:pPr>
            <w:r>
              <w:rPr/>
              <w:t>Pro-rata</w:t>
              <w:br/>
              <w:t>Bonus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71" w:type="dxa"/>
            <w:tcBorders/>
            <w:shd w:fill="000000" w:val="clear"/>
            <w:vAlign w:val="center"/>
          </w:tcPr>
          <w:p>
            <w:pPr>
              <w:pStyle w:val="TableContents"/>
              <w:bidi w:val="0"/>
              <w:spacing w:before="0" w:after="0"/>
              <w:jc w:val="center"/>
              <w:rPr/>
            </w:pPr>
            <w:r>
              <w:rPr/>
              <w:t>Other Post-</w:t>
              <w:br/>
              <w:t>termination</w:t>
              <w:br/>
              <w:t>Benefits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60" w:type="dxa"/>
            <w:tcBorders/>
            <w:shd w:fill="000000" w:val="clear"/>
            <w:vAlign w:val="center"/>
          </w:tcPr>
          <w:p>
            <w:pPr>
              <w:pStyle w:val="TableContents"/>
              <w:bidi w:val="0"/>
              <w:spacing w:before="0" w:after="0"/>
              <w:jc w:val="center"/>
              <w:rPr/>
            </w:pPr>
            <w:r>
              <w:rPr/>
              <w:t>Total</w:t>
              <w:br/>
              <w:t xml:space="preserve">($) </w:t>
            </w:r>
          </w:p>
        </w:tc>
        <w:tc>
          <w:tcPr>
            <w:tcW w:w="158" w:type="dxa"/>
            <w:tcBorders/>
            <w:shd w:fill="000000" w:val="clear"/>
            <w:vAlign w:val="center"/>
          </w:tcPr>
          <w:p>
            <w:pPr>
              <w:pStyle w:val="TableContents"/>
              <w:bidi w:val="0"/>
              <w:spacing w:before="0" w:after="283"/>
              <w:jc w:val="left"/>
              <w:rPr/>
            </w:pPr>
            <w:r>
              <w:rPr/>
              <w:t>​</w:t>
            </w:r>
          </w:p>
        </w:tc>
      </w:tr>
      <w:tr>
        <w:trPr/>
        <w:tc>
          <w:tcPr>
            <w:tcW w:w="124"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844" w:type="dxa"/>
            <w:vMerge w:val="restart"/>
            <w:tcBorders>
              <w:bottom w:val="single" w:sz="2" w:space="0" w:color="666666"/>
            </w:tcBorders>
            <w:tcMar>
              <w:bottom w:w="68" w:type="dxa"/>
            </w:tcMar>
            <w:vAlign w:val="center"/>
          </w:tcPr>
          <w:p>
            <w:pPr>
              <w:pStyle w:val="TableContents"/>
              <w:bidi w:val="0"/>
              <w:spacing w:lineRule="atLeast" w:line="255" w:before="0" w:after="0"/>
              <w:jc w:val="left"/>
              <w:rPr>
                <w:b/>
              </w:rPr>
            </w:pPr>
            <w:r>
              <w:rPr>
                <w:b/>
                <w:spacing w:val="0"/>
              </w:rPr>
              <w:t>Jeffrey Place</w:t>
            </w:r>
            <w:r>
              <w:rPr>
                <w:b/>
              </w:rPr>
              <w:t xml:space="preserve"> </w:t>
            </w:r>
          </w:p>
        </w:tc>
        <w:tc>
          <w:tcPr>
            <w:tcW w:w="109"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17" w:type="dxa"/>
            <w:tcBorders>
              <w:bottom w:val="single" w:sz="2" w:space="0" w:color="666666"/>
            </w:tcBorders>
            <w:tcMar>
              <w:bottom w:w="68" w:type="dxa"/>
            </w:tcMar>
            <w:vAlign w:val="center"/>
          </w:tcPr>
          <w:p>
            <w:pPr>
              <w:pStyle w:val="TableContents"/>
              <w:bidi w:val="0"/>
              <w:spacing w:lineRule="atLeast" w:line="255" w:before="0" w:after="0"/>
              <w:jc w:val="left"/>
              <w:rPr>
                <w:spacing w:val="-1"/>
              </w:rPr>
            </w:pPr>
            <w:r>
              <w:rPr>
                <w:spacing w:val="-1"/>
              </w:rPr>
              <w:t xml:space="preserve">Death/Disability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2" w:type="dxa"/>
            <w:tcBorders>
              <w:bottom w:val="single" w:sz="2" w:space="0" w:color="666666"/>
            </w:tcBorders>
            <w:tcMar>
              <w:bottom w:w="68" w:type="dxa"/>
            </w:tcMar>
            <w:vAlign w:val="center"/>
          </w:tcPr>
          <w:p>
            <w:pPr>
              <w:pStyle w:val="TableContents"/>
              <w:bidi w:val="0"/>
              <w:spacing w:lineRule="atLeast" w:line="255"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6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2" w:type="dxa"/>
            <w:tcBorders>
              <w:bottom w:val="single" w:sz="2" w:space="0" w:color="666666"/>
            </w:tcBorders>
            <w:tcMar>
              <w:bottom w:w="68" w:type="dxa"/>
            </w:tcMar>
            <w:vAlign w:val="center"/>
          </w:tcPr>
          <w:p>
            <w:pPr>
              <w:pStyle w:val="TableContents"/>
              <w:bidi w:val="0"/>
              <w:spacing w:lineRule="atLeast" w:line="255"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68" w:type="dxa"/>
            </w:tcMar>
            <w:vAlign w:val="center"/>
          </w:tcPr>
          <w:p>
            <w:pPr>
              <w:pStyle w:val="TableContents"/>
              <w:bidi w:val="0"/>
              <w:spacing w:lineRule="atLeast" w:line="255"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0" w:type="dxa"/>
            <w:tcBorders>
              <w:bottom w:val="single" w:sz="2" w:space="0" w:color="666666"/>
            </w:tcBorders>
            <w:tcMar>
              <w:bottom w:w="68" w:type="dxa"/>
            </w:tcMar>
            <w:vAlign w:val="center"/>
          </w:tcPr>
          <w:p>
            <w:pPr>
              <w:pStyle w:val="TableContents"/>
              <w:bidi w:val="0"/>
              <w:spacing w:lineRule="atLeast" w:line="255" w:before="0" w:after="0"/>
              <w:jc w:val="center"/>
              <w:rPr/>
            </w:pPr>
            <w:r>
              <w:rPr>
                <w:spacing w:val="-1"/>
              </w:rPr>
              <w:t>—</w:t>
            </w:r>
            <w:r>
              <w:rPr/>
              <w:t xml:space="preserve"> </w:t>
            </w:r>
          </w:p>
        </w:tc>
        <w:tc>
          <w:tcPr>
            <w:tcW w:w="158"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844" w:type="dxa"/>
            <w:vMerge w:val="continue"/>
            <w:tcBorders>
              <w:bottom w:val="single" w:sz="2" w:space="0" w:color="666666"/>
            </w:tcBorders>
            <w:tcMar>
              <w:bottom w:w="6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17" w:type="dxa"/>
            <w:tcBorders>
              <w:bottom w:val="single" w:sz="2" w:space="0" w:color="666666"/>
            </w:tcBorders>
            <w:tcMar>
              <w:bottom w:w="68" w:type="dxa"/>
            </w:tcMar>
            <w:vAlign w:val="center"/>
          </w:tcPr>
          <w:p>
            <w:pPr>
              <w:pStyle w:val="TableContents"/>
              <w:bidi w:val="0"/>
              <w:spacing w:before="0" w:after="283"/>
              <w:jc w:val="left"/>
              <w:rPr>
                <w:spacing w:val="-1"/>
              </w:rPr>
            </w:pPr>
            <w:r>
              <w:rPr>
                <w:spacing w:val="-1"/>
              </w:rPr>
              <w:t xml:space="preserve">Retirement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2"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2"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0"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58"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844" w:type="dxa"/>
            <w:vMerge w:val="continue"/>
            <w:tcBorders>
              <w:bottom w:val="single" w:sz="2" w:space="0" w:color="666666"/>
            </w:tcBorders>
            <w:tcMar>
              <w:bottom w:w="6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17" w:type="dxa"/>
            <w:tcBorders>
              <w:bottom w:val="single" w:sz="2" w:space="0" w:color="666666"/>
            </w:tcBorders>
            <w:tcMar>
              <w:bottom w:w="68" w:type="dxa"/>
            </w:tcMar>
            <w:vAlign w:val="center"/>
          </w:tcPr>
          <w:p>
            <w:pPr>
              <w:pStyle w:val="TableContents"/>
              <w:bidi w:val="0"/>
              <w:spacing w:before="0" w:after="283"/>
              <w:jc w:val="left"/>
              <w:rPr>
                <w:spacing w:val="-1"/>
              </w:rPr>
            </w:pPr>
            <w:r>
              <w:rPr>
                <w:spacing w:val="-1"/>
              </w:rPr>
              <w:t xml:space="preserve">Voluntary Termination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2"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2"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0"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58"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844" w:type="dxa"/>
            <w:vMerge w:val="continue"/>
            <w:tcBorders>
              <w:bottom w:val="single" w:sz="2" w:space="0" w:color="666666"/>
            </w:tcBorders>
            <w:tcMar>
              <w:bottom w:w="6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17" w:type="dxa"/>
            <w:tcBorders>
              <w:bottom w:val="single" w:sz="2" w:space="0" w:color="666666"/>
            </w:tcBorders>
            <w:tcMar>
              <w:bottom w:w="68" w:type="dxa"/>
            </w:tcMar>
            <w:vAlign w:val="center"/>
          </w:tcPr>
          <w:p>
            <w:pPr>
              <w:pStyle w:val="TableContents"/>
              <w:bidi w:val="0"/>
              <w:spacing w:before="0" w:after="283"/>
              <w:jc w:val="left"/>
              <w:rPr>
                <w:spacing w:val="-1"/>
              </w:rPr>
            </w:pPr>
            <w:r>
              <w:rPr>
                <w:spacing w:val="-1"/>
              </w:rPr>
              <w:t xml:space="preserve">Termination with Cause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2"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2"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0"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58"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844" w:type="dxa"/>
            <w:vMerge w:val="continue"/>
            <w:tcBorders>
              <w:bottom w:val="single" w:sz="2" w:space="0" w:color="666666"/>
            </w:tcBorders>
            <w:tcMar>
              <w:bottom w:w="6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17" w:type="dxa"/>
            <w:tcBorders>
              <w:bottom w:val="single" w:sz="2" w:space="0" w:color="666666"/>
            </w:tcBorders>
            <w:tcMar>
              <w:bottom w:w="44" w:type="dxa"/>
            </w:tcMar>
            <w:vAlign w:val="center"/>
          </w:tcPr>
          <w:p>
            <w:pPr>
              <w:pStyle w:val="TableContents"/>
              <w:bidi w:val="0"/>
              <w:spacing w:before="0" w:after="283"/>
              <w:jc w:val="left"/>
              <w:rPr>
                <w:spacing w:val="-1"/>
              </w:rPr>
            </w:pPr>
            <w:r>
              <w:rPr>
                <w:spacing w:val="-1"/>
              </w:rPr>
              <w:t xml:space="preserve">Termination Without Cause or for Good Reason (outside of a CIC Period)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2"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550,000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29,635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2"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935,000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44"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0"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1,514,635 </w:t>
            </w:r>
          </w:p>
        </w:tc>
        <w:tc>
          <w:tcPr>
            <w:tcW w:w="158"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844" w:type="dxa"/>
            <w:vMerge w:val="continue"/>
            <w:tcBorders>
              <w:bottom w:val="single" w:sz="2" w:space="0" w:color="666666"/>
            </w:tcBorders>
            <w:tcMar>
              <w:bottom w:w="6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17" w:type="dxa"/>
            <w:tcBorders>
              <w:bottom w:val="single" w:sz="2" w:space="0" w:color="666666"/>
            </w:tcBorders>
            <w:tcMar>
              <w:bottom w:w="44" w:type="dxa"/>
            </w:tcMar>
            <w:vAlign w:val="center"/>
          </w:tcPr>
          <w:p>
            <w:pPr>
              <w:pStyle w:val="TableContents"/>
              <w:bidi w:val="0"/>
              <w:spacing w:before="0" w:after="283"/>
              <w:jc w:val="left"/>
              <w:rPr>
                <w:spacing w:val="-1"/>
              </w:rPr>
            </w:pPr>
            <w:r>
              <w:rPr>
                <w:spacing w:val="-1"/>
              </w:rPr>
              <w:t xml:space="preserve">Termination Without Cause or for Good Reason (during a CIC Period)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2"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1,100,000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44,453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882"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935,000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44"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60" w:type="dxa"/>
            <w:tcBorders>
              <w:bottom w:val="single" w:sz="2" w:space="0" w:color="666666"/>
            </w:tcBorders>
            <w:tcMar>
              <w:bottom w:w="44" w:type="dxa"/>
            </w:tcMar>
            <w:vAlign w:val="center"/>
          </w:tcPr>
          <w:p>
            <w:pPr>
              <w:pStyle w:val="TableContents"/>
              <w:bidi w:val="0"/>
              <w:spacing w:before="0" w:after="0"/>
              <w:jc w:val="center"/>
              <w:rPr/>
            </w:pPr>
            <w:r>
              <w:rPr>
                <w:spacing w:val="-1"/>
              </w:rPr>
              <w:t>2,079,453</w:t>
            </w:r>
            <w:r>
              <w:rPr/>
              <w:t xml:space="preserve"> </w:t>
            </w:r>
          </w:p>
        </w:tc>
        <w:tc>
          <w:tcPr>
            <w:tcW w:w="158" w:type="dxa"/>
            <w:tcBorders>
              <w:bottom w:val="single" w:sz="2" w:space="0" w:color="666666"/>
            </w:tcBorders>
            <w:tcMar>
              <w:bottom w:w="28" w:type="dxa"/>
            </w:tcMar>
            <w:vAlign w:val="center"/>
          </w:tcPr>
          <w:p>
            <w:pPr>
              <w:pStyle w:val="TableContents"/>
              <w:bidi w:val="0"/>
              <w:spacing w:before="0" w:after="283"/>
              <w:jc w:val="left"/>
              <w:rPr/>
            </w:pPr>
            <w:r>
              <w:rPr/>
              <w:t>​</w:t>
            </w:r>
          </w:p>
        </w:tc>
      </w:tr>
    </w:tbl>
    <w:tbl>
      <w:tblPr>
        <w:tblW w:w="9607" w:type="dxa"/>
        <w:jc w:val="left"/>
        <w:tblInd w:w="893" w:type="dxa"/>
        <w:tblLayout w:type="fixed"/>
        <w:tblCellMar>
          <w:top w:w="0" w:type="dxa"/>
          <w:left w:w="0" w:type="dxa"/>
          <w:bottom w:w="0" w:type="dxa"/>
          <w:right w:w="0" w:type="dxa"/>
        </w:tblCellMar>
      </w:tblPr>
      <w:tblGrid>
        <w:gridCol w:w="124"/>
        <w:gridCol w:w="1276"/>
        <w:gridCol w:w="109"/>
        <w:gridCol w:w="109"/>
        <w:gridCol w:w="1251"/>
        <w:gridCol w:w="109"/>
        <w:gridCol w:w="109"/>
        <w:gridCol w:w="1081"/>
        <w:gridCol w:w="109"/>
        <w:gridCol w:w="109"/>
        <w:gridCol w:w="1126"/>
        <w:gridCol w:w="109"/>
        <w:gridCol w:w="109"/>
        <w:gridCol w:w="1058"/>
        <w:gridCol w:w="109"/>
        <w:gridCol w:w="109"/>
        <w:gridCol w:w="1171"/>
        <w:gridCol w:w="109"/>
        <w:gridCol w:w="109"/>
        <w:gridCol w:w="1058"/>
        <w:gridCol w:w="154"/>
      </w:tblGrid>
      <w:tr>
        <w:trPr/>
        <w:tc>
          <w:tcPr>
            <w:tcW w:w="124" w:type="dxa"/>
            <w:tcBorders/>
            <w:shd w:fill="000000" w:val="clear"/>
            <w:vAlign w:val="center"/>
          </w:tcPr>
          <w:p>
            <w:pPr>
              <w:pStyle w:val="TableContents"/>
              <w:bidi w:val="0"/>
              <w:spacing w:before="0" w:after="283"/>
              <w:jc w:val="left"/>
              <w:rPr/>
            </w:pPr>
            <w:r>
              <w:rPr/>
              <w:t>​</w:t>
            </w:r>
          </w:p>
        </w:tc>
        <w:tc>
          <w:tcPr>
            <w:tcW w:w="1276" w:type="dxa"/>
            <w:tcBorders/>
            <w:shd w:fill="000000" w:val="clear"/>
            <w:vAlign w:val="center"/>
          </w:tcPr>
          <w:p>
            <w:pPr>
              <w:pStyle w:val="TableContents"/>
              <w:bidi w:val="0"/>
              <w:spacing w:before="0" w:after="0"/>
              <w:jc w:val="left"/>
              <w:rPr/>
            </w:pPr>
            <w:r>
              <w:rPr/>
              <w:t xml:space="preserve">Name of NEO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51" w:type="dxa"/>
            <w:tcBorders/>
            <w:shd w:fill="000000" w:val="clear"/>
            <w:vAlign w:val="center"/>
          </w:tcPr>
          <w:p>
            <w:pPr>
              <w:pStyle w:val="TableContents"/>
              <w:bidi w:val="0"/>
              <w:spacing w:before="0" w:after="0"/>
              <w:jc w:val="left"/>
              <w:rPr/>
            </w:pPr>
            <w:r>
              <w:rPr/>
              <w:t xml:space="preserve">Triggering Event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81" w:type="dxa"/>
            <w:tcBorders/>
            <w:shd w:fill="000000" w:val="clear"/>
            <w:vAlign w:val="center"/>
          </w:tcPr>
          <w:p>
            <w:pPr>
              <w:pStyle w:val="TableContents"/>
              <w:bidi w:val="0"/>
              <w:spacing w:before="0" w:after="0"/>
              <w:jc w:val="center"/>
              <w:rPr/>
            </w:pPr>
            <w:r>
              <w:rPr/>
              <w:t>Cash</w:t>
              <w:br/>
              <w:t>Severance</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26" w:type="dxa"/>
            <w:tcBorders/>
            <w:shd w:fill="000000" w:val="clear"/>
            <w:vAlign w:val="center"/>
          </w:tcPr>
          <w:p>
            <w:pPr>
              <w:pStyle w:val="TableContents"/>
              <w:bidi w:val="0"/>
              <w:spacing w:before="0" w:after="0"/>
              <w:jc w:val="center"/>
              <w:rPr/>
            </w:pPr>
            <w:r>
              <w:rPr/>
              <w:t>Healthcare</w:t>
              <w:br/>
              <w:t>Coverage</w:t>
              <w:br/>
              <w:t>Payments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58" w:type="dxa"/>
            <w:tcBorders/>
            <w:shd w:fill="000000" w:val="clear"/>
            <w:vAlign w:val="center"/>
          </w:tcPr>
          <w:p>
            <w:pPr>
              <w:pStyle w:val="TableContents"/>
              <w:bidi w:val="0"/>
              <w:spacing w:before="0" w:after="0"/>
              <w:jc w:val="center"/>
              <w:rPr/>
            </w:pPr>
            <w:r>
              <w:rPr/>
              <w:t>Pro-rata</w:t>
              <w:br/>
              <w:t>Bonus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71" w:type="dxa"/>
            <w:tcBorders/>
            <w:shd w:fill="000000" w:val="clear"/>
            <w:vAlign w:val="center"/>
          </w:tcPr>
          <w:p>
            <w:pPr>
              <w:pStyle w:val="TableContents"/>
              <w:bidi w:val="0"/>
              <w:spacing w:before="0" w:after="0"/>
              <w:jc w:val="center"/>
              <w:rPr/>
            </w:pPr>
            <w:r>
              <w:rPr/>
              <w:t>Other Post-</w:t>
              <w:br/>
              <w:t>termination</w:t>
              <w:br/>
              <w:t>Benefits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58" w:type="dxa"/>
            <w:tcBorders/>
            <w:shd w:fill="000000" w:val="clear"/>
            <w:vAlign w:val="center"/>
          </w:tcPr>
          <w:p>
            <w:pPr>
              <w:pStyle w:val="TableContents"/>
              <w:bidi w:val="0"/>
              <w:spacing w:before="0" w:after="0"/>
              <w:jc w:val="center"/>
              <w:rPr/>
            </w:pPr>
            <w:r>
              <w:rPr/>
              <w:t>Total</w:t>
              <w:br/>
              <w:t xml:space="preserve">($) </w:t>
            </w:r>
          </w:p>
        </w:tc>
        <w:tc>
          <w:tcPr>
            <w:tcW w:w="154" w:type="dxa"/>
            <w:tcBorders/>
            <w:shd w:fill="000000" w:val="clear"/>
            <w:vAlign w:val="center"/>
          </w:tcPr>
          <w:p>
            <w:pPr>
              <w:pStyle w:val="TableContents"/>
              <w:bidi w:val="0"/>
              <w:spacing w:before="0" w:after="283"/>
              <w:jc w:val="left"/>
              <w:rPr/>
            </w:pPr>
            <w:r>
              <w:rPr/>
              <w:t>​</w:t>
            </w:r>
          </w:p>
        </w:tc>
      </w:tr>
      <w:tr>
        <w:trPr/>
        <w:tc>
          <w:tcPr>
            <w:tcW w:w="124"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276" w:type="dxa"/>
            <w:vMerge w:val="restart"/>
            <w:tcBorders>
              <w:bottom w:val="single" w:sz="2" w:space="0" w:color="666666"/>
            </w:tcBorders>
            <w:tcMar>
              <w:bottom w:w="68" w:type="dxa"/>
            </w:tcMar>
            <w:vAlign w:val="center"/>
          </w:tcPr>
          <w:p>
            <w:pPr>
              <w:pStyle w:val="TableContents"/>
              <w:bidi w:val="0"/>
              <w:spacing w:lineRule="atLeast" w:line="255" w:before="0" w:after="0"/>
              <w:jc w:val="left"/>
              <w:rPr>
                <w:b/>
              </w:rPr>
            </w:pPr>
            <w:r>
              <w:rPr>
                <w:b/>
                <w:spacing w:val="0"/>
              </w:rPr>
              <w:t>Giovanni Barbarossa</w:t>
            </w:r>
            <w:r>
              <w:rPr>
                <w:b/>
              </w:rPr>
              <w:t xml:space="preserve"> </w:t>
            </w:r>
          </w:p>
        </w:tc>
        <w:tc>
          <w:tcPr>
            <w:tcW w:w="109" w:type="dxa"/>
            <w:vMerge w:val="restart"/>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51" w:type="dxa"/>
            <w:tcBorders>
              <w:bottom w:val="single" w:sz="2" w:space="0" w:color="666666"/>
            </w:tcBorders>
            <w:tcMar>
              <w:bottom w:w="68" w:type="dxa"/>
            </w:tcMar>
            <w:vAlign w:val="center"/>
          </w:tcPr>
          <w:p>
            <w:pPr>
              <w:pStyle w:val="TableContents"/>
              <w:bidi w:val="0"/>
              <w:spacing w:lineRule="atLeast" w:line="255" w:before="0" w:after="0"/>
              <w:jc w:val="left"/>
              <w:rPr>
                <w:spacing w:val="-1"/>
              </w:rPr>
            </w:pPr>
            <w:r>
              <w:rPr>
                <w:spacing w:val="-1"/>
              </w:rPr>
              <w:t xml:space="preserve">Death/Disability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68" w:type="dxa"/>
            </w:tcMar>
            <w:vAlign w:val="center"/>
          </w:tcPr>
          <w:p>
            <w:pPr>
              <w:pStyle w:val="TableContents"/>
              <w:bidi w:val="0"/>
              <w:spacing w:lineRule="atLeast" w:line="255"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6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68" w:type="dxa"/>
            </w:tcMar>
            <w:vAlign w:val="center"/>
          </w:tcPr>
          <w:p>
            <w:pPr>
              <w:pStyle w:val="TableContents"/>
              <w:bidi w:val="0"/>
              <w:spacing w:lineRule="atLeast" w:line="255"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68" w:type="dxa"/>
            </w:tcMar>
            <w:vAlign w:val="center"/>
          </w:tcPr>
          <w:p>
            <w:pPr>
              <w:pStyle w:val="TableContents"/>
              <w:bidi w:val="0"/>
              <w:spacing w:lineRule="atLeast" w:line="255"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68" w:type="dxa"/>
            </w:tcMar>
            <w:vAlign w:val="center"/>
          </w:tcPr>
          <w:p>
            <w:pPr>
              <w:pStyle w:val="TableContents"/>
              <w:bidi w:val="0"/>
              <w:spacing w:lineRule="atLeast" w:line="255" w:before="0" w:after="0"/>
              <w:jc w:val="center"/>
              <w:rPr/>
            </w:pPr>
            <w:r>
              <w:rPr>
                <w:spacing w:val="-1"/>
              </w:rPr>
              <w:t>—</w:t>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276" w:type="dxa"/>
            <w:vMerge w:val="continue"/>
            <w:tcBorders>
              <w:bottom w:val="single" w:sz="2" w:space="0" w:color="666666"/>
            </w:tcBorders>
            <w:tcMar>
              <w:bottom w:w="6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51" w:type="dxa"/>
            <w:tcBorders>
              <w:bottom w:val="single" w:sz="2" w:space="0" w:color="666666"/>
            </w:tcBorders>
            <w:tcMar>
              <w:bottom w:w="68" w:type="dxa"/>
            </w:tcMar>
            <w:vAlign w:val="center"/>
          </w:tcPr>
          <w:p>
            <w:pPr>
              <w:pStyle w:val="TableContents"/>
              <w:bidi w:val="0"/>
              <w:spacing w:before="0" w:after="283"/>
              <w:jc w:val="left"/>
              <w:rPr>
                <w:spacing w:val="-1"/>
              </w:rPr>
            </w:pPr>
            <w:r>
              <w:rPr>
                <w:spacing w:val="-1"/>
              </w:rPr>
              <w:t xml:space="preserve">Retirement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276" w:type="dxa"/>
            <w:vMerge w:val="continue"/>
            <w:tcBorders>
              <w:bottom w:val="single" w:sz="2" w:space="0" w:color="666666"/>
            </w:tcBorders>
            <w:tcMar>
              <w:bottom w:w="6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51" w:type="dxa"/>
            <w:tcBorders>
              <w:bottom w:val="single" w:sz="2" w:space="0" w:color="666666"/>
            </w:tcBorders>
            <w:tcMar>
              <w:bottom w:w="68" w:type="dxa"/>
            </w:tcMar>
            <w:vAlign w:val="center"/>
          </w:tcPr>
          <w:p>
            <w:pPr>
              <w:pStyle w:val="TableContents"/>
              <w:bidi w:val="0"/>
              <w:spacing w:before="0" w:after="283"/>
              <w:jc w:val="left"/>
              <w:rPr>
                <w:spacing w:val="-1"/>
              </w:rPr>
            </w:pPr>
            <w:r>
              <w:rPr>
                <w:spacing w:val="-1"/>
              </w:rPr>
              <w:t xml:space="preserve">Voluntary Termination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276" w:type="dxa"/>
            <w:vMerge w:val="continue"/>
            <w:tcBorders>
              <w:bottom w:val="single" w:sz="2" w:space="0" w:color="666666"/>
            </w:tcBorders>
            <w:tcMar>
              <w:bottom w:w="6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51" w:type="dxa"/>
            <w:tcBorders>
              <w:bottom w:val="single" w:sz="2" w:space="0" w:color="666666"/>
            </w:tcBorders>
            <w:tcMar>
              <w:bottom w:w="68" w:type="dxa"/>
            </w:tcMar>
            <w:vAlign w:val="center"/>
          </w:tcPr>
          <w:p>
            <w:pPr>
              <w:pStyle w:val="TableContents"/>
              <w:bidi w:val="0"/>
              <w:spacing w:before="0" w:after="283"/>
              <w:jc w:val="left"/>
              <w:rPr>
                <w:spacing w:val="-1"/>
              </w:rPr>
            </w:pPr>
            <w:r>
              <w:rPr>
                <w:spacing w:val="-1"/>
              </w:rPr>
              <w:t xml:space="preserve">Termination with Cause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68" w:type="dxa"/>
            </w:tcMar>
            <w:vAlign w:val="center"/>
          </w:tcPr>
          <w:p>
            <w:pPr>
              <w:pStyle w:val="TableContents"/>
              <w:bidi w:val="0"/>
              <w:spacing w:before="0" w:after="0"/>
              <w:jc w:val="center"/>
              <w:rPr/>
            </w:pPr>
            <w:r>
              <w:rPr>
                <w:spacing w:val="-1"/>
              </w:rPr>
              <w:t>—</w:t>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276" w:type="dxa"/>
            <w:vMerge w:val="continue"/>
            <w:tcBorders>
              <w:bottom w:val="single" w:sz="2" w:space="0" w:color="666666"/>
            </w:tcBorders>
            <w:tcMar>
              <w:bottom w:w="6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51" w:type="dxa"/>
            <w:tcBorders>
              <w:bottom w:val="single" w:sz="2" w:space="0" w:color="666666"/>
            </w:tcBorders>
            <w:tcMar>
              <w:bottom w:w="44" w:type="dxa"/>
            </w:tcMar>
            <w:vAlign w:val="center"/>
          </w:tcPr>
          <w:p>
            <w:pPr>
              <w:pStyle w:val="TableContents"/>
              <w:bidi w:val="0"/>
              <w:spacing w:before="0" w:after="283"/>
              <w:jc w:val="left"/>
              <w:rPr>
                <w:spacing w:val="-1"/>
              </w:rPr>
            </w:pPr>
            <w:r>
              <w:rPr>
                <w:spacing w:val="-1"/>
              </w:rPr>
              <w:t xml:space="preserve">Termination Without Cause or for Good Reason (outside of a CIC Period)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680,212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29,676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1,156,360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44"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1,866,248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666666"/>
            </w:tcBorders>
            <w:tcMar>
              <w:bottom w:w="28" w:type="dxa"/>
            </w:tcMar>
            <w:vAlign w:val="center"/>
          </w:tcPr>
          <w:p>
            <w:pPr>
              <w:pStyle w:val="Normal"/>
              <w:bidi w:val="0"/>
              <w:jc w:val="left"/>
              <w:rPr/>
            </w:pPr>
            <w:r>
              <w:rPr/>
            </w:r>
          </w:p>
        </w:tc>
        <w:tc>
          <w:tcPr>
            <w:tcW w:w="1276" w:type="dxa"/>
            <w:vMerge w:val="continue"/>
            <w:tcBorders>
              <w:bottom w:val="single" w:sz="2" w:space="0" w:color="666666"/>
            </w:tcBorders>
            <w:tcMar>
              <w:bottom w:w="68" w:type="dxa"/>
            </w:tcMar>
            <w:vAlign w:val="center"/>
          </w:tcPr>
          <w:p>
            <w:pPr>
              <w:pStyle w:val="Normal"/>
              <w:bidi w:val="0"/>
              <w:jc w:val="left"/>
              <w:rPr/>
            </w:pPr>
            <w:r>
              <w:rPr/>
            </w:r>
          </w:p>
        </w:tc>
        <w:tc>
          <w:tcPr>
            <w:tcW w:w="109" w:type="dxa"/>
            <w:vMerge w:val="continue"/>
            <w:tcBorders>
              <w:bottom w:val="single" w:sz="2" w:space="0" w:color="666666"/>
            </w:tcBorders>
            <w:tcMar>
              <w:bottom w:w="28" w:type="dxa"/>
            </w:tcMar>
            <w:vAlign w:val="center"/>
          </w:tcPr>
          <w:p>
            <w:pPr>
              <w:pStyle w:val="Normal"/>
              <w:bidi w:val="0"/>
              <w:jc w:val="left"/>
              <w:rPr/>
            </w:pPr>
            <w:r>
              <w:rPr/>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51" w:type="dxa"/>
            <w:tcBorders>
              <w:bottom w:val="single" w:sz="2" w:space="0" w:color="666666"/>
            </w:tcBorders>
            <w:tcMar>
              <w:bottom w:w="44" w:type="dxa"/>
            </w:tcMar>
            <w:vAlign w:val="center"/>
          </w:tcPr>
          <w:p>
            <w:pPr>
              <w:pStyle w:val="TableContents"/>
              <w:bidi w:val="0"/>
              <w:spacing w:before="0" w:after="283"/>
              <w:jc w:val="left"/>
              <w:rPr>
                <w:spacing w:val="-1"/>
              </w:rPr>
            </w:pPr>
            <w:r>
              <w:rPr>
                <w:spacing w:val="-1"/>
              </w:rPr>
              <w:t xml:space="preserve">Termination Without Cause or for Good Reason (during a CIC Period)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1"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1,360,424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26"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44,514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44" w:type="dxa"/>
            </w:tcMar>
            <w:vAlign w:val="center"/>
          </w:tcPr>
          <w:p>
            <w:pPr>
              <w:pStyle w:val="TableContents"/>
              <w:bidi w:val="0"/>
              <w:spacing w:before="0" w:after="0"/>
              <w:jc w:val="center"/>
              <w:rPr>
                <w:spacing w:val="-1"/>
              </w:rPr>
            </w:pPr>
            <w:r>
              <w:rPr>
                <w:spacing w:val="-1"/>
              </w:rPr>
              <w:t xml:space="preserve">1,156,360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1" w:type="dxa"/>
            <w:tcBorders>
              <w:bottom w:val="single" w:sz="2" w:space="0" w:color="666666"/>
            </w:tcBorders>
            <w:tcMar>
              <w:bottom w:w="44"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58" w:type="dxa"/>
            <w:tcBorders>
              <w:bottom w:val="single" w:sz="2" w:space="0" w:color="666666"/>
            </w:tcBorders>
            <w:tcMar>
              <w:bottom w:w="44" w:type="dxa"/>
            </w:tcMar>
            <w:vAlign w:val="center"/>
          </w:tcPr>
          <w:p>
            <w:pPr>
              <w:pStyle w:val="TableContents"/>
              <w:bidi w:val="0"/>
              <w:spacing w:before="0" w:after="0"/>
              <w:jc w:val="center"/>
              <w:rPr/>
            </w:pPr>
            <w:r>
              <w:rPr>
                <w:spacing w:val="-1"/>
              </w:rPr>
              <w:t>2,561,298</w:t>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74</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4" w:name="tCPR"/>
      <w:bookmarkEnd w:id="2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640" w:before="120" w:after="4260"/>
        <w:ind w:left="893" w:right="40" w:hanging="0"/>
        <w:jc w:val="left"/>
        <w:rPr>
          <w:rFonts w:ascii="Tahoma;Geneva;sans-serif" w:hAnsi="Tahoma;Geneva;sans-serif"/>
          <w:b/>
          <w:i w:val="false"/>
          <w:caps w:val="false"/>
          <w:smallCaps w:val="false"/>
          <w:color w:val="0068C7"/>
          <w:sz w:val="60"/>
          <w:shd w:fill="FFFFFF" w:val="clear"/>
        </w:rPr>
      </w:pPr>
      <w:r>
        <w:rPr>
          <w:rFonts w:ascii="Tahoma;Geneva;sans-serif" w:hAnsi="Tahoma;Geneva;sans-serif"/>
          <w:b/>
          <w:i w:val="false"/>
          <w:caps w:val="false"/>
          <w:smallCaps w:val="false"/>
          <w:color w:val="0068C7"/>
          <w:sz w:val="60"/>
          <w:shd w:fill="FFFFFF" w:val="clear"/>
        </w:rPr>
        <w:t>CEO PAY RATIO</w:t>
      </w:r>
      <w:r>
        <w:rPr>
          <w:rFonts w:ascii="Tahoma;Geneva;sans-serif" w:hAnsi="Tahoma;Geneva;sans-serif"/>
          <w:b/>
          <w:i w:val="false"/>
          <w:caps w:val="false"/>
          <w:smallCaps w:val="false"/>
          <w:color w:val="000000"/>
          <w:spacing w:val="12"/>
          <w:sz w:val="6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Information about the relationship between Jim Anderson’s fiscal year 2026 annual total compensation, and the median annual total compensation of our employees is provided below.</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Mr. Anderson’s fiscal year 2026 annual total compensation was $28,349,672 as reported in the Summary Compensation Table and the annual total compensation of our median compensated employee, also referred to as our median employee, was $20,527, and the ratio of these amounts is 1 to 1,381.</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We took the steps below to calculate the annual total compensation of James Anderson and determine the annual total compensation of our median compensated employee.</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5" w:before="180" w:after="0"/>
        <w:ind w:left="133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To determine the annual total compensation of Mr. Anderson, we used the amount reported in the “Total” column of our fiscal year 2026 Summary Compensation Table included in this proxy statement.</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76200" distR="0" simplePos="0" locked="0" layoutInCell="1" allowOverlap="1" relativeHeight="408">
                <wp:simplePos x="0" y="0"/>
                <wp:positionH relativeFrom="column">
                  <wp:align>left</wp:align>
                </wp:positionH>
                <wp:positionV relativeFrom="line">
                  <wp:align>top</wp:align>
                </wp:positionV>
                <wp:extent cx="203200" cy="350520"/>
                <wp:effectExtent l="0" t="0" r="0" b="0"/>
                <wp:wrapSquare wrapText="right"/>
                <wp:docPr id="416" name="Frame198"/>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55" w:before="0" w:after="283"/>
                              <w:jc w:val="left"/>
                              <w:rPr/>
                            </w:pPr>
                            <w:r>
                              <w:rPr>
                                <w:spacing w:val="-1"/>
                              </w:rPr>
                              <w:t>1.</w:t>
                            </w:r>
                            <w:r>
                              <w:rPr/>
                              <w:t xml:space="preserve"> </w:t>
                              <w:br/>
                            </w:r>
                          </w:p>
                        </w:txbxContent>
                      </wps:txbx>
                      <wps:bodyPr anchor="t" lIns="0" tIns="0" rIns="0" bIns="0">
                        <a:noAutofit/>
                      </wps:bodyPr>
                    </wps:wsp>
                  </a:graphicData>
                </a:graphic>
              </wp:anchor>
            </w:drawing>
          </mc:Choice>
          <mc:Fallback>
            <w:pict>
              <v:rect style="position:absolute;rotation:-0;width:16pt;height:27.6pt;mso-wrap-distance-left:6pt;mso-wrap-distance-right:0pt;mso-wrap-distance-top:9pt;mso-wrap-distance-bottom:0pt;margin-top:9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1.</w:t>
                      </w:r>
                      <w:r>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80" w:after="0"/>
        <w:ind w:left="133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To determine our median compensated employee, we determined that, as of June 30, 2026, our employee population consisted of approximately 47,620 individuals and excluded James Anderson. This population consisted of our full-time, part-time, and temporary employees as of the determination date.</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76200" distR="0" simplePos="0" locked="0" layoutInCell="1" allowOverlap="1" relativeHeight="409">
                <wp:simplePos x="0" y="0"/>
                <wp:positionH relativeFrom="column">
                  <wp:align>left</wp:align>
                </wp:positionH>
                <wp:positionV relativeFrom="line">
                  <wp:align>top</wp:align>
                </wp:positionV>
                <wp:extent cx="203200" cy="350520"/>
                <wp:effectExtent l="0" t="0" r="0" b="0"/>
                <wp:wrapSquare wrapText="right"/>
                <wp:docPr id="417" name="Frame199"/>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55" w:before="0" w:after="283"/>
                              <w:jc w:val="left"/>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16pt;height:27.6pt;mso-wrap-distance-left:6pt;mso-wrap-distance-right:0pt;mso-wrap-distance-top:9pt;mso-wrap-distance-bottom:0pt;margin-top:9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2.</w:t>
                      </w:r>
                      <w:r>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80" w:after="0"/>
        <w:ind w:left="133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To identify the “median employee” from our employee population we used base salary, as reflected in our payroll records, for fiscal year 2026 . For base salary, we generally used the total amount of compensation the employees were paid before any taxes, deductions, insurance premiums, and other payroll withholding. We did not use any statistical sampling techniques.</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76200" distR="0" simplePos="0" locked="0" layoutInCell="1" allowOverlap="1" relativeHeight="410">
                <wp:simplePos x="0" y="0"/>
                <wp:positionH relativeFrom="column">
                  <wp:align>left</wp:align>
                </wp:positionH>
                <wp:positionV relativeFrom="line">
                  <wp:align>top</wp:align>
                </wp:positionV>
                <wp:extent cx="203200" cy="350520"/>
                <wp:effectExtent l="0" t="0" r="0" b="0"/>
                <wp:wrapSquare wrapText="right"/>
                <wp:docPr id="418" name="Frame200"/>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55" w:before="0" w:after="283"/>
                              <w:jc w:val="left"/>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16pt;height:27.6pt;mso-wrap-distance-left:6pt;mso-wrap-distance-right:0pt;mso-wrap-distance-top:9pt;mso-wrap-distance-bottom:0pt;margin-top:9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3.</w:t>
                      </w:r>
                      <w:r>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80" w:after="0"/>
        <w:ind w:left="133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To determine the annual total compensation of our median employee, we then identified and calculated the elements of that employee’s compensation for fiscal year 2026 in accordance with the requirements of Item 402(c)(2)(x) of Regulation S-K, resulting in annual total compensation of $20,527.</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76200" distR="0" simplePos="0" locked="0" layoutInCell="1" allowOverlap="1" relativeHeight="411">
                <wp:simplePos x="0" y="0"/>
                <wp:positionH relativeFrom="column">
                  <wp:align>left</wp:align>
                </wp:positionH>
                <wp:positionV relativeFrom="line">
                  <wp:align>top</wp:align>
                </wp:positionV>
                <wp:extent cx="203200" cy="350520"/>
                <wp:effectExtent l="0" t="0" r="0" b="0"/>
                <wp:wrapSquare wrapText="right"/>
                <wp:docPr id="419" name="Frame201"/>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55" w:before="0" w:after="283"/>
                              <w:jc w:val="left"/>
                              <w:rPr/>
                            </w:pPr>
                            <w:r>
                              <w:rPr>
                                <w:spacing w:val="-1"/>
                              </w:rPr>
                              <w:t>4.</w:t>
                            </w:r>
                            <w:r>
                              <w:rPr/>
                              <w:t xml:space="preserve"> </w:t>
                              <w:br/>
                            </w:r>
                          </w:p>
                        </w:txbxContent>
                      </wps:txbx>
                      <wps:bodyPr anchor="t" lIns="0" tIns="0" rIns="0" bIns="0">
                        <a:noAutofit/>
                      </wps:bodyPr>
                    </wps:wsp>
                  </a:graphicData>
                </a:graphic>
              </wp:anchor>
            </w:drawing>
          </mc:Choice>
          <mc:Fallback>
            <w:pict>
              <v:rect style="position:absolute;rotation:-0;width:16pt;height:27.6pt;mso-wrap-distance-left:6pt;mso-wrap-distance-right:0pt;mso-wrap-distance-top:9pt;mso-wrap-distance-bottom:0pt;margin-top:9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4.</w:t>
                      </w:r>
                      <w:r>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80" w:after="0"/>
        <w:ind w:left="133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For currency conversion, the prevailing rates as of June 30, 2026 were used to reflect base salary in U.S. dollars and for all other purposes.</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76200" distR="0" simplePos="0" locked="0" layoutInCell="1" allowOverlap="1" relativeHeight="412">
                <wp:simplePos x="0" y="0"/>
                <wp:positionH relativeFrom="column">
                  <wp:align>left</wp:align>
                </wp:positionH>
                <wp:positionV relativeFrom="line">
                  <wp:align>top</wp:align>
                </wp:positionV>
                <wp:extent cx="203200" cy="350520"/>
                <wp:effectExtent l="0" t="0" r="0" b="0"/>
                <wp:wrapSquare wrapText="right"/>
                <wp:docPr id="420" name="Frame202"/>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55" w:before="0" w:after="283"/>
                              <w:jc w:val="left"/>
                              <w:rPr/>
                            </w:pPr>
                            <w:r>
                              <w:rPr>
                                <w:spacing w:val="-1"/>
                              </w:rPr>
                              <w:t>5.</w:t>
                            </w:r>
                            <w:r>
                              <w:rPr/>
                              <w:t xml:space="preserve"> </w:t>
                              <w:br/>
                            </w:r>
                          </w:p>
                        </w:txbxContent>
                      </wps:txbx>
                      <wps:bodyPr anchor="t" lIns="0" tIns="0" rIns="0" bIns="0">
                        <a:noAutofit/>
                      </wps:bodyPr>
                    </wps:wsp>
                  </a:graphicData>
                </a:graphic>
              </wp:anchor>
            </w:drawing>
          </mc:Choice>
          <mc:Fallback>
            <w:pict>
              <v:rect style="position:absolute;rotation:-0;width:16pt;height:27.6pt;mso-wrap-distance-left:6pt;mso-wrap-distance-right:0pt;mso-wrap-distance-top:9pt;mso-wrap-distance-bottom:0pt;margin-top:9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5.</w:t>
                      </w:r>
                      <w:r>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0" w:before="180" w:after="283"/>
        <w:jc w:val="left"/>
        <w:rPr>
          <w:rFonts w:ascii="Arial;Helvetica;sans-serif" w:hAnsi="Arial;Helvetica;sans-serif"/>
          <w:b w:val="false"/>
          <w:i w:val="false"/>
          <w:caps w:val="false"/>
          <w:smallCaps w:val="false"/>
          <w:color w:val="000000"/>
          <w:spacing w:val="-1"/>
          <w:sz w:val="19"/>
          <w:shd w:fill="FFFFFF" w:val="clear"/>
        </w:rPr>
      </w:pPr>
      <w:r>
        <w:rPr>
          <w:rFonts w:ascii="Arial;Helvetica;sans-serif" w:hAnsi="Arial;Helvetica;sans-serif"/>
          <w:b w:val="false"/>
          <w:i w:val="false"/>
          <w:caps w:val="false"/>
          <w:smallCaps w:val="false"/>
          <w:color w:val="000000"/>
          <w:spacing w:val="-1"/>
          <w:sz w:val="19"/>
          <w:shd w:fill="FFFFFF" w:val="clear"/>
        </w:rPr>
        <w:t xml:space="preserve">The CEO pay ratio reported above is a reasonable estimate, calculated in a manner consistent with SEC rules, based on the methodologies and assumptions described above. SEC rules for identifying the median employee and determining the CEO pay ratio permit companies to employ a wide range of methodologies, estimates, and assumptions. As a result, the CEO pay ratios reported by other companies, which may have employed other permitted methodologies or assumptions, and which may have a significantly different work force structure from ours, might not be comparable to our CEO pay ratio.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75</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5" w:name="tPVP"/>
      <w:bookmarkEnd w:id="2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440" w:before="120" w:after="283"/>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PAY VERSUS PERFORMANCE</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In accordance with rules adopted by the SEC pursuant to the Dodd-Frank Wall Street Reform and Consumer Protection Act, we provide the following disclosure regarding executive compensation for our principal executive officers (“PEOs”) and Non-PEO NEOs and Company performance for the fiscal years listed below. Compensation actually paid, as determined under SEC requirements, does not reflect the actual amount of compensation earned by or paid to our executive officers during a covered year. For information regarding the Company’s pay for performance philosophy and how the Company aligns executive compensation with the Company’s performance, refer to the CD&amp;A.</w:t>
      </w:r>
      <w:r>
        <w:rPr>
          <w:rFonts w:ascii="Arial;Helvetica;sans-serif" w:hAnsi="Arial;Helvetica;sans-serif"/>
          <w:b w:val="false"/>
          <w:i w:val="false"/>
          <w:caps w:val="false"/>
          <w:smallCaps w:val="false"/>
          <w:color w:val="000000"/>
          <w:spacing w:val="4"/>
          <w:sz w:val="19"/>
          <w:shd w:fill="FFFFFF" w:val="clear"/>
        </w:rPr>
        <w:t xml:space="preserve"> </w:t>
      </w:r>
    </w:p>
    <w:tbl>
      <w:tblPr>
        <w:tblW w:w="12293" w:type="dxa"/>
        <w:jc w:val="left"/>
        <w:tblInd w:w="893" w:type="dxa"/>
        <w:tblLayout w:type="fixed"/>
        <w:tblCellMar>
          <w:top w:w="0" w:type="dxa"/>
          <w:left w:w="0" w:type="dxa"/>
          <w:bottom w:w="0" w:type="dxa"/>
          <w:right w:w="0" w:type="dxa"/>
        </w:tblCellMar>
      </w:tblPr>
      <w:tblGrid>
        <w:gridCol w:w="124"/>
        <w:gridCol w:w="583"/>
        <w:gridCol w:w="109"/>
        <w:gridCol w:w="109"/>
        <w:gridCol w:w="1471"/>
        <w:gridCol w:w="109"/>
        <w:gridCol w:w="109"/>
        <w:gridCol w:w="1471"/>
        <w:gridCol w:w="109"/>
        <w:gridCol w:w="109"/>
        <w:gridCol w:w="1471"/>
        <w:gridCol w:w="109"/>
        <w:gridCol w:w="109"/>
        <w:gridCol w:w="1471"/>
        <w:gridCol w:w="109"/>
        <w:gridCol w:w="109"/>
        <w:gridCol w:w="761"/>
        <w:gridCol w:w="109"/>
        <w:gridCol w:w="109"/>
        <w:gridCol w:w="761"/>
        <w:gridCol w:w="109"/>
        <w:gridCol w:w="109"/>
        <w:gridCol w:w="1141"/>
        <w:gridCol w:w="109"/>
        <w:gridCol w:w="109"/>
        <w:gridCol w:w="1141"/>
        <w:gridCol w:w="154"/>
      </w:tblGrid>
      <w:tr>
        <w:trPr/>
        <w:tc>
          <w:tcPr>
            <w:tcW w:w="124" w:type="dxa"/>
            <w:vMerge w:val="restart"/>
            <w:tcBorders/>
            <w:shd w:fill="000000" w:val="clear"/>
            <w:vAlign w:val="center"/>
          </w:tcPr>
          <w:p>
            <w:pPr>
              <w:pStyle w:val="TableContents"/>
              <w:bidi w:val="0"/>
              <w:spacing w:before="0" w:after="283"/>
              <w:jc w:val="left"/>
              <w:rPr/>
            </w:pPr>
            <w:r>
              <w:rPr/>
              <w:t>​</w:t>
            </w:r>
          </w:p>
        </w:tc>
        <w:tc>
          <w:tcPr>
            <w:tcW w:w="583" w:type="dxa"/>
            <w:vMerge w:val="restart"/>
            <w:tcBorders/>
            <w:shd w:fill="000000" w:val="clear"/>
            <w:vAlign w:val="center"/>
          </w:tcPr>
          <w:p>
            <w:pPr>
              <w:pStyle w:val="TableContents"/>
              <w:bidi w:val="0"/>
              <w:spacing w:lineRule="atLeast" w:line="169" w:before="0" w:after="0"/>
              <w:jc w:val="left"/>
              <w:rPr/>
            </w:pPr>
            <w:r>
              <w:rPr/>
              <w:t xml:space="preserve">Year </w:t>
            </w:r>
          </w:p>
        </w:tc>
        <w:tc>
          <w:tcPr>
            <w:tcW w:w="109" w:type="dxa"/>
            <w:vMerge w:val="restart"/>
            <w:tcBorders/>
            <w:shd w:fill="000000" w:val="clear"/>
            <w:vAlign w:val="center"/>
          </w:tcPr>
          <w:p>
            <w:pPr>
              <w:pStyle w:val="TableContents"/>
              <w:bidi w:val="0"/>
              <w:spacing w:before="0" w:after="283"/>
              <w:jc w:val="left"/>
              <w:rPr/>
            </w:pPr>
            <w:r>
              <w:rPr/>
              <w:t>​</w:t>
            </w:r>
          </w:p>
        </w:tc>
        <w:tc>
          <w:tcPr>
            <w:tcW w:w="109" w:type="dxa"/>
            <w:vMerge w:val="restart"/>
            <w:tcBorders/>
            <w:shd w:fill="000000" w:val="clear"/>
            <w:vAlign w:val="center"/>
          </w:tcPr>
          <w:p>
            <w:pPr>
              <w:pStyle w:val="TableContents"/>
              <w:bidi w:val="0"/>
              <w:spacing w:before="0" w:after="283"/>
              <w:jc w:val="left"/>
              <w:rPr/>
            </w:pPr>
            <w:r>
              <w:rPr/>
              <w:t>​</w:t>
            </w:r>
          </w:p>
        </w:tc>
        <w:tc>
          <w:tcPr>
            <w:tcW w:w="1471" w:type="dxa"/>
            <w:vMerge w:val="restart"/>
            <w:tcBorders/>
            <w:shd w:fill="000000" w:val="clear"/>
            <w:vAlign w:val="center"/>
          </w:tcPr>
          <w:p>
            <w:pPr>
              <w:pStyle w:val="TableContents"/>
              <w:bidi w:val="0"/>
              <w:spacing w:lineRule="atLeast" w:line="142" w:before="0" w:after="0"/>
              <w:jc w:val="center"/>
              <w:rPr/>
            </w:pPr>
            <w:r>
              <w:rPr/>
              <w:t>Summary</w:t>
              <w:br/>
              <w:t>Compensation</w:t>
              <w:br/>
              <w:t>Table Total</w:t>
              <w:br/>
              <w:t>for PEO 1</w:t>
            </w:r>
            <w:r>
              <w:rPr>
                <w:sz w:val="9"/>
              </w:rPr>
              <w:t>1</w:t>
            </w:r>
            <w:r>
              <w:rPr/>
              <w:br/>
              <w:t xml:space="preserve">($) </w:t>
            </w:r>
          </w:p>
        </w:tc>
        <w:tc>
          <w:tcPr>
            <w:tcW w:w="109" w:type="dxa"/>
            <w:vMerge w:val="restart"/>
            <w:tcBorders/>
            <w:shd w:fill="000000" w:val="clear"/>
            <w:vAlign w:val="center"/>
          </w:tcPr>
          <w:p>
            <w:pPr>
              <w:pStyle w:val="TableContents"/>
              <w:bidi w:val="0"/>
              <w:spacing w:before="0" w:after="283"/>
              <w:jc w:val="left"/>
              <w:rPr/>
            </w:pPr>
            <w:r>
              <w:rPr/>
              <w:t>​</w:t>
            </w:r>
          </w:p>
        </w:tc>
        <w:tc>
          <w:tcPr>
            <w:tcW w:w="109" w:type="dxa"/>
            <w:vMerge w:val="restart"/>
            <w:tcBorders/>
            <w:shd w:fill="000000" w:val="clear"/>
            <w:vAlign w:val="center"/>
          </w:tcPr>
          <w:p>
            <w:pPr>
              <w:pStyle w:val="TableContents"/>
              <w:bidi w:val="0"/>
              <w:spacing w:before="0" w:after="283"/>
              <w:jc w:val="left"/>
              <w:rPr/>
            </w:pPr>
            <w:r>
              <w:rPr/>
              <w:t>​</w:t>
            </w:r>
          </w:p>
        </w:tc>
        <w:tc>
          <w:tcPr>
            <w:tcW w:w="1471" w:type="dxa"/>
            <w:vMerge w:val="restart"/>
            <w:tcBorders/>
            <w:shd w:fill="000000" w:val="clear"/>
            <w:vAlign w:val="center"/>
          </w:tcPr>
          <w:p>
            <w:pPr>
              <w:pStyle w:val="TableContents"/>
              <w:bidi w:val="0"/>
              <w:spacing w:lineRule="atLeast" w:line="142" w:before="0" w:after="0"/>
              <w:jc w:val="center"/>
              <w:rPr/>
            </w:pPr>
            <w:r>
              <w:rPr/>
              <w:t>Compensation</w:t>
              <w:br/>
              <w:t>Actually</w:t>
              <w:br/>
              <w:t>Paid to</w:t>
              <w:br/>
              <w:t>PEO 1</w:t>
            </w:r>
            <w:r>
              <w:rPr>
                <w:sz w:val="9"/>
              </w:rPr>
              <w:t>1,2,3</w:t>
            </w:r>
            <w:r>
              <w:rPr/>
              <w:br/>
              <w:t xml:space="preserve">($) </w:t>
            </w:r>
          </w:p>
        </w:tc>
        <w:tc>
          <w:tcPr>
            <w:tcW w:w="109" w:type="dxa"/>
            <w:vMerge w:val="restart"/>
            <w:tcBorders/>
            <w:shd w:fill="000000" w:val="clear"/>
            <w:vAlign w:val="center"/>
          </w:tcPr>
          <w:p>
            <w:pPr>
              <w:pStyle w:val="TableContents"/>
              <w:bidi w:val="0"/>
              <w:spacing w:before="0" w:after="283"/>
              <w:jc w:val="left"/>
              <w:rPr/>
            </w:pPr>
            <w:r>
              <w:rPr/>
              <w:t>​</w:t>
            </w:r>
          </w:p>
        </w:tc>
        <w:tc>
          <w:tcPr>
            <w:tcW w:w="109" w:type="dxa"/>
            <w:vMerge w:val="restart"/>
            <w:tcBorders/>
            <w:shd w:fill="000000" w:val="clear"/>
            <w:vAlign w:val="center"/>
          </w:tcPr>
          <w:p>
            <w:pPr>
              <w:pStyle w:val="TableContents"/>
              <w:bidi w:val="0"/>
              <w:spacing w:before="0" w:after="283"/>
              <w:jc w:val="left"/>
              <w:rPr/>
            </w:pPr>
            <w:r>
              <w:rPr/>
              <w:t>​</w:t>
            </w:r>
          </w:p>
        </w:tc>
        <w:tc>
          <w:tcPr>
            <w:tcW w:w="1471" w:type="dxa"/>
            <w:vMerge w:val="restart"/>
            <w:tcBorders/>
            <w:shd w:fill="000000" w:val="clear"/>
            <w:vAlign w:val="center"/>
          </w:tcPr>
          <w:p>
            <w:pPr>
              <w:pStyle w:val="TableContents"/>
              <w:bidi w:val="0"/>
              <w:spacing w:lineRule="atLeast" w:line="142" w:before="0" w:after="0"/>
              <w:jc w:val="center"/>
              <w:rPr/>
            </w:pPr>
            <w:r>
              <w:rPr/>
              <w:t>Average</w:t>
              <w:br/>
              <w:t>Summary</w:t>
              <w:br/>
              <w:t>Compensation</w:t>
              <w:br/>
              <w:t>Table Total</w:t>
              <w:br/>
              <w:t>for Non-PEO</w:t>
              <w:br/>
              <w:t>NEOs</w:t>
            </w:r>
            <w:r>
              <w:rPr>
                <w:sz w:val="9"/>
              </w:rPr>
              <w:t>1</w:t>
            </w:r>
            <w:r>
              <w:rPr/>
              <w:br/>
              <w:t xml:space="preserve">($) </w:t>
            </w:r>
          </w:p>
        </w:tc>
        <w:tc>
          <w:tcPr>
            <w:tcW w:w="109" w:type="dxa"/>
            <w:vMerge w:val="restart"/>
            <w:tcBorders/>
            <w:shd w:fill="000000" w:val="clear"/>
            <w:vAlign w:val="center"/>
          </w:tcPr>
          <w:p>
            <w:pPr>
              <w:pStyle w:val="TableContents"/>
              <w:bidi w:val="0"/>
              <w:spacing w:before="0" w:after="283"/>
              <w:jc w:val="left"/>
              <w:rPr/>
            </w:pPr>
            <w:r>
              <w:rPr/>
              <w:t>​</w:t>
            </w:r>
          </w:p>
        </w:tc>
        <w:tc>
          <w:tcPr>
            <w:tcW w:w="109" w:type="dxa"/>
            <w:vMerge w:val="restart"/>
            <w:tcBorders/>
            <w:shd w:fill="000000" w:val="clear"/>
            <w:vAlign w:val="center"/>
          </w:tcPr>
          <w:p>
            <w:pPr>
              <w:pStyle w:val="TableContents"/>
              <w:bidi w:val="0"/>
              <w:spacing w:before="0" w:after="283"/>
              <w:jc w:val="left"/>
              <w:rPr/>
            </w:pPr>
            <w:r>
              <w:rPr/>
              <w:t>​</w:t>
            </w:r>
          </w:p>
        </w:tc>
        <w:tc>
          <w:tcPr>
            <w:tcW w:w="1471" w:type="dxa"/>
            <w:vMerge w:val="restart"/>
            <w:tcBorders/>
            <w:shd w:fill="000000" w:val="clear"/>
            <w:vAlign w:val="center"/>
          </w:tcPr>
          <w:p>
            <w:pPr>
              <w:pStyle w:val="TableContents"/>
              <w:bidi w:val="0"/>
              <w:spacing w:lineRule="atLeast" w:line="142" w:before="0" w:after="0"/>
              <w:jc w:val="center"/>
              <w:rPr/>
            </w:pPr>
            <w:r>
              <w:rPr/>
              <w:t>Average</w:t>
              <w:br/>
              <w:t>Compensation</w:t>
              <w:br/>
              <w:t>Actually</w:t>
              <w:br/>
              <w:t>Paid to</w:t>
              <w:br/>
              <w:t>Non-PEO</w:t>
              <w:br/>
              <w:t>NEOs</w:t>
            </w:r>
            <w:r>
              <w:rPr>
                <w:sz w:val="9"/>
              </w:rPr>
              <w:t>1,2,3</w:t>
            </w:r>
            <w:r>
              <w:rPr/>
              <w:br/>
              <w:t xml:space="preserve">($) </w:t>
            </w:r>
          </w:p>
        </w:tc>
        <w:tc>
          <w:tcPr>
            <w:tcW w:w="109" w:type="dxa"/>
            <w:vMerge w:val="restart"/>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740" w:type="dxa"/>
            <w:gridSpan w:val="4"/>
            <w:tcBorders>
              <w:bottom w:val="single" w:sz="2" w:space="0" w:color="FFFFFF"/>
            </w:tcBorders>
            <w:shd w:fill="000000" w:val="clear"/>
            <w:tcMar>
              <w:bottom w:w="51" w:type="dxa"/>
            </w:tcMar>
            <w:vAlign w:val="center"/>
          </w:tcPr>
          <w:p>
            <w:pPr>
              <w:pStyle w:val="TableContents"/>
              <w:bidi w:val="0"/>
              <w:spacing w:lineRule="atLeast" w:line="142" w:before="0" w:after="0"/>
              <w:jc w:val="center"/>
              <w:rPr/>
            </w:pPr>
            <w:r>
              <w:rPr/>
              <w:t>Value of</w:t>
              <w:br/>
              <w:t>Initial</w:t>
              <w:br/>
              <w:t>Fixed $100</w:t>
              <w:br/>
              <w:t>Investment</w:t>
              <w:br/>
              <w:t>based on:</w:t>
            </w:r>
            <w:r>
              <w:rPr>
                <w:sz w:val="9"/>
              </w:rPr>
              <w:t>4</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vMerge w:val="restart"/>
            <w:tcBorders/>
            <w:shd w:fill="000000" w:val="clear"/>
            <w:vAlign w:val="center"/>
          </w:tcPr>
          <w:p>
            <w:pPr>
              <w:pStyle w:val="TableContents"/>
              <w:bidi w:val="0"/>
              <w:spacing w:before="0" w:after="283"/>
              <w:jc w:val="left"/>
              <w:rPr/>
            </w:pPr>
            <w:r>
              <w:rPr/>
              <w:t>​</w:t>
            </w:r>
          </w:p>
        </w:tc>
        <w:tc>
          <w:tcPr>
            <w:tcW w:w="1141" w:type="dxa"/>
            <w:vMerge w:val="restart"/>
            <w:tcBorders/>
            <w:shd w:fill="000000" w:val="clear"/>
            <w:vAlign w:val="center"/>
          </w:tcPr>
          <w:p>
            <w:pPr>
              <w:pStyle w:val="TableContents"/>
              <w:bidi w:val="0"/>
              <w:spacing w:lineRule="atLeast" w:line="169" w:before="0" w:after="0"/>
              <w:jc w:val="center"/>
              <w:rPr/>
            </w:pPr>
            <w:r>
              <w:rPr/>
              <w:t>Net</w:t>
              <w:br/>
              <w:t>Income</w:t>
              <w:br/>
              <w:t xml:space="preserve">($ Millions) </w:t>
            </w:r>
          </w:p>
        </w:tc>
        <w:tc>
          <w:tcPr>
            <w:tcW w:w="109" w:type="dxa"/>
            <w:vMerge w:val="restart"/>
            <w:tcBorders/>
            <w:shd w:fill="000000" w:val="clear"/>
            <w:vAlign w:val="center"/>
          </w:tcPr>
          <w:p>
            <w:pPr>
              <w:pStyle w:val="TableContents"/>
              <w:bidi w:val="0"/>
              <w:spacing w:before="0" w:after="283"/>
              <w:jc w:val="left"/>
              <w:rPr/>
            </w:pPr>
            <w:r>
              <w:rPr/>
              <w:t>​</w:t>
            </w:r>
          </w:p>
        </w:tc>
        <w:tc>
          <w:tcPr>
            <w:tcW w:w="109" w:type="dxa"/>
            <w:vMerge w:val="restart"/>
            <w:tcBorders/>
            <w:shd w:fill="000000" w:val="clear"/>
            <w:vAlign w:val="center"/>
          </w:tcPr>
          <w:p>
            <w:pPr>
              <w:pStyle w:val="TableContents"/>
              <w:bidi w:val="0"/>
              <w:spacing w:before="0" w:after="283"/>
              <w:jc w:val="left"/>
              <w:rPr/>
            </w:pPr>
            <w:r>
              <w:rPr/>
              <w:t>​</w:t>
            </w:r>
          </w:p>
        </w:tc>
        <w:tc>
          <w:tcPr>
            <w:tcW w:w="1141" w:type="dxa"/>
            <w:vMerge w:val="restart"/>
            <w:tcBorders/>
            <w:shd w:fill="000000" w:val="clear"/>
            <w:vAlign w:val="center"/>
          </w:tcPr>
          <w:p>
            <w:pPr>
              <w:pStyle w:val="TableContents"/>
              <w:bidi w:val="0"/>
              <w:spacing w:lineRule="atLeast" w:line="142" w:before="0" w:after="0"/>
              <w:jc w:val="center"/>
              <w:rPr/>
            </w:pPr>
            <w:r>
              <w:rPr/>
              <w:t>Adjusted</w:t>
              <w:br/>
              <w:t>EBITDA</w:t>
            </w:r>
            <w:r>
              <w:rPr>
                <w:sz w:val="9"/>
              </w:rPr>
              <w:t>5</w:t>
            </w:r>
            <w:r>
              <w:rPr/>
              <w:br/>
              <w:t xml:space="preserve">($ Millions) </w:t>
            </w:r>
          </w:p>
        </w:tc>
        <w:tc>
          <w:tcPr>
            <w:tcW w:w="154" w:type="dxa"/>
            <w:vMerge w:val="restart"/>
            <w:tcBorders/>
            <w:shd w:fill="000000" w:val="clear"/>
            <w:vAlign w:val="center"/>
          </w:tcPr>
          <w:p>
            <w:pPr>
              <w:pStyle w:val="TableContents"/>
              <w:bidi w:val="0"/>
              <w:spacing w:before="0" w:after="283"/>
              <w:jc w:val="left"/>
              <w:rPr/>
            </w:pPr>
            <w:r>
              <w:rPr/>
              <w:t>​</w:t>
            </w:r>
          </w:p>
        </w:tc>
      </w:tr>
      <w:tr>
        <w:trPr/>
        <w:tc>
          <w:tcPr>
            <w:tcW w:w="124" w:type="dxa"/>
            <w:vMerge w:val="continue"/>
            <w:tcBorders/>
            <w:shd w:fill="000000" w:val="clear"/>
            <w:vAlign w:val="center"/>
          </w:tcPr>
          <w:p>
            <w:pPr>
              <w:pStyle w:val="Normal"/>
              <w:bidi w:val="0"/>
              <w:jc w:val="left"/>
              <w:rPr/>
            </w:pPr>
            <w:r>
              <w:rPr/>
            </w:r>
          </w:p>
        </w:tc>
        <w:tc>
          <w:tcPr>
            <w:tcW w:w="583"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471"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471"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471"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471"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09" w:type="dxa"/>
            <w:tcBorders/>
            <w:shd w:fill="000000" w:val="clear"/>
            <w:vAlign w:val="center"/>
          </w:tcPr>
          <w:p>
            <w:pPr>
              <w:pStyle w:val="TableContents"/>
              <w:bidi w:val="0"/>
              <w:spacing w:before="0" w:after="283"/>
              <w:jc w:val="left"/>
              <w:rPr/>
            </w:pPr>
            <w:r>
              <w:rPr/>
              <w:t>​</w:t>
            </w:r>
          </w:p>
        </w:tc>
        <w:tc>
          <w:tcPr>
            <w:tcW w:w="761" w:type="dxa"/>
            <w:tcBorders/>
            <w:shd w:fill="000000" w:val="clear"/>
            <w:vAlign w:val="center"/>
          </w:tcPr>
          <w:p>
            <w:pPr>
              <w:pStyle w:val="TableContents"/>
              <w:bidi w:val="0"/>
              <w:spacing w:before="0" w:after="0"/>
              <w:jc w:val="center"/>
              <w:rPr/>
            </w:pPr>
            <w:r>
              <w:rPr/>
              <w:t>TSR</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761" w:type="dxa"/>
            <w:tcBorders/>
            <w:shd w:fill="000000" w:val="clear"/>
            <w:vAlign w:val="center"/>
          </w:tcPr>
          <w:p>
            <w:pPr>
              <w:pStyle w:val="TableContents"/>
              <w:bidi w:val="0"/>
              <w:spacing w:before="0" w:after="0"/>
              <w:jc w:val="center"/>
              <w:rPr/>
            </w:pPr>
            <w:r>
              <w:rPr/>
              <w:t>Peer</w:t>
              <w:br/>
              <w:t>Group</w:t>
              <w:br/>
              <w:t>TSR</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vMerge w:val="continue"/>
            <w:tcBorders/>
            <w:shd w:fill="000000" w:val="clear"/>
            <w:vAlign w:val="center"/>
          </w:tcPr>
          <w:p>
            <w:pPr>
              <w:pStyle w:val="Normal"/>
              <w:bidi w:val="0"/>
              <w:jc w:val="left"/>
              <w:rPr/>
            </w:pPr>
            <w:r>
              <w:rPr/>
            </w:r>
          </w:p>
        </w:tc>
        <w:tc>
          <w:tcPr>
            <w:tcW w:w="1141"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141" w:type="dxa"/>
            <w:vMerge w:val="continue"/>
            <w:tcBorders/>
            <w:shd w:fill="000000" w:val="clear"/>
            <w:vAlign w:val="center"/>
          </w:tcPr>
          <w:p>
            <w:pPr>
              <w:pStyle w:val="Normal"/>
              <w:bidi w:val="0"/>
              <w:jc w:val="left"/>
              <w:rPr/>
            </w:pPr>
            <w:r>
              <w:rPr/>
            </w:r>
          </w:p>
        </w:tc>
        <w:tc>
          <w:tcPr>
            <w:tcW w:w="154" w:type="dxa"/>
            <w:vMerge w:val="continue"/>
            <w:tcBorders/>
            <w:shd w:fill="000000" w:val="clear"/>
            <w:vAlign w:val="center"/>
          </w:tcPr>
          <w:p>
            <w:pPr>
              <w:pStyle w:val="Normal"/>
              <w:bidi w:val="0"/>
              <w:jc w:val="left"/>
              <w:rPr/>
            </w:pPr>
            <w:r>
              <w:rPr/>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583" w:type="dxa"/>
            <w:tcBorders>
              <w:bottom w:val="single" w:sz="2" w:space="0" w:color="666666"/>
            </w:tcBorders>
            <w:tcMar>
              <w:bottom w:w="98" w:type="dxa"/>
            </w:tcMar>
            <w:vAlign w:val="center"/>
          </w:tcPr>
          <w:p>
            <w:pPr>
              <w:pStyle w:val="TableContents"/>
              <w:bidi w:val="0"/>
              <w:spacing w:before="0" w:after="283"/>
              <w:jc w:val="left"/>
              <w:rPr>
                <w:spacing w:val="-1"/>
              </w:rPr>
            </w:pPr>
            <w:r>
              <w:rPr>
                <w:spacing w:val="-1"/>
              </w:rPr>
              <w:t xml:space="preserve">2026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28,349,672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713,540,125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6,279,618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57,397,501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76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543.42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76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315.48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4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787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4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1,744.7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583" w:type="dxa"/>
            <w:tcBorders>
              <w:bottom w:val="single" w:sz="2" w:space="0" w:color="666666"/>
            </w:tcBorders>
            <w:tcMar>
              <w:bottom w:w="98" w:type="dxa"/>
            </w:tcMar>
            <w:vAlign w:val="center"/>
          </w:tcPr>
          <w:p>
            <w:pPr>
              <w:pStyle w:val="TableContents"/>
              <w:bidi w:val="0"/>
              <w:spacing w:before="0" w:after="283"/>
              <w:jc w:val="left"/>
              <w:rPr>
                <w:spacing w:val="-1"/>
              </w:rPr>
            </w:pPr>
            <w:r>
              <w:rPr>
                <w:spacing w:val="-1"/>
              </w:rPr>
              <w:t xml:space="preserve">2025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3,722,935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34,479,371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12,058,072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10,843,278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76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122.90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76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111.71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4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30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4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1,318.6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583" w:type="dxa"/>
            <w:tcBorders>
              <w:bottom w:val="single" w:sz="2" w:space="0" w:color="666666"/>
            </w:tcBorders>
            <w:tcMar>
              <w:bottom w:w="98" w:type="dxa"/>
            </w:tcMar>
            <w:vAlign w:val="center"/>
          </w:tcPr>
          <w:p>
            <w:pPr>
              <w:pStyle w:val="TableContents"/>
              <w:bidi w:val="0"/>
              <w:spacing w:before="0" w:after="283"/>
              <w:jc w:val="left"/>
              <w:rPr>
                <w:spacing w:val="-1"/>
              </w:rPr>
            </w:pPr>
            <w:r>
              <w:rPr>
                <w:spacing w:val="-1"/>
              </w:rPr>
              <w:t xml:space="preserve">2024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101,497,009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108,396,274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2,455,433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5,025,954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76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99.82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76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94.96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4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(159)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4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1,001.2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583" w:type="dxa"/>
            <w:tcBorders>
              <w:bottom w:val="single" w:sz="2" w:space="0" w:color="666666"/>
            </w:tcBorders>
            <w:tcMar>
              <w:bottom w:w="98" w:type="dxa"/>
            </w:tcMar>
            <w:vAlign w:val="center"/>
          </w:tcPr>
          <w:p>
            <w:pPr>
              <w:pStyle w:val="TableContents"/>
              <w:bidi w:val="0"/>
              <w:spacing w:before="0" w:after="283"/>
              <w:jc w:val="left"/>
              <w:rPr>
                <w:spacing w:val="-1"/>
              </w:rPr>
            </w:pPr>
            <w:r>
              <w:rPr>
                <w:spacing w:val="-1"/>
              </w:rPr>
              <w:t xml:space="preserve">2023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9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9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5,304,906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6,787,965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76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70.23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76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89.84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4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(259)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4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1,238.7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583" w:type="dxa"/>
            <w:tcBorders>
              <w:bottom w:val="single" w:sz="2" w:space="0" w:color="666666"/>
            </w:tcBorders>
            <w:tcMar>
              <w:bottom w:w="98" w:type="dxa"/>
            </w:tcMar>
            <w:vAlign w:val="center"/>
          </w:tcPr>
          <w:p>
            <w:pPr>
              <w:pStyle w:val="TableContents"/>
              <w:bidi w:val="0"/>
              <w:spacing w:before="0" w:after="283"/>
              <w:jc w:val="left"/>
              <w:rPr>
                <w:spacing w:val="-1"/>
              </w:rPr>
            </w:pPr>
            <w:r>
              <w:rPr>
                <w:spacing w:val="-1"/>
              </w:rPr>
              <w:t xml:space="preserve">2022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9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9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2,670,549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47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(77,480)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76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70.19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76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76.48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41" w:type="dxa"/>
            <w:tcBorders>
              <w:bottom w:val="single" w:sz="2" w:space="0" w:color="666666"/>
            </w:tcBorders>
            <w:tcMar>
              <w:bottom w:w="98" w:type="dxa"/>
            </w:tcMar>
            <w:vAlign w:val="center"/>
          </w:tcPr>
          <w:p>
            <w:pPr>
              <w:pStyle w:val="TableContents"/>
              <w:bidi w:val="0"/>
              <w:spacing w:before="0" w:after="0"/>
              <w:jc w:val="center"/>
              <w:rPr>
                <w:spacing w:val="-1"/>
              </w:rPr>
            </w:pPr>
            <w:r>
              <w:rPr>
                <w:spacing w:val="-1"/>
              </w:rPr>
              <w:t xml:space="preserve">235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41" w:type="dxa"/>
            <w:tcBorders>
              <w:bottom w:val="single" w:sz="2" w:space="0" w:color="666666"/>
            </w:tcBorders>
            <w:tcMar>
              <w:bottom w:w="98" w:type="dxa"/>
            </w:tcMar>
            <w:vAlign w:val="center"/>
          </w:tcPr>
          <w:p>
            <w:pPr>
              <w:pStyle w:val="TableContents"/>
              <w:bidi w:val="0"/>
              <w:spacing w:before="0" w:after="0"/>
              <w:jc w:val="center"/>
              <w:rPr/>
            </w:pPr>
            <w:r>
              <w:rPr>
                <w:spacing w:val="-1"/>
              </w:rPr>
              <w:t>864.8</w:t>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20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James R. Anderson was our PEO from June 3, 2024 through June 30, 2024 and to the present date (PEO 1). The individuals comprising the Non-PEO NEOs for each year presented are listed below.</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127000" distB="0" distL="0" distR="0" simplePos="0" locked="0" layoutInCell="1" allowOverlap="1" relativeHeight="413">
                <wp:simplePos x="0" y="0"/>
                <wp:positionH relativeFrom="column">
                  <wp:align>left</wp:align>
                </wp:positionH>
                <wp:positionV relativeFrom="line">
                  <wp:align>top</wp:align>
                </wp:positionV>
                <wp:extent cx="203200" cy="204470"/>
                <wp:effectExtent l="0" t="0" r="0" b="0"/>
                <wp:wrapSquare wrapText="right"/>
                <wp:docPr id="421" name="Frame203"/>
                <a:graphic xmlns:a="http://schemas.openxmlformats.org/drawingml/2006/main">
                  <a:graphicData uri="http://schemas.microsoft.com/office/word/2010/wordprocessingShape">
                    <wps:wsp>
                      <wps:cNvSpPr txBox="1"/>
                      <wps:spPr>
                        <a:xfrm>
                          <a:off x="0" y="0"/>
                          <a:ext cx="203200" cy="204470"/>
                        </a:xfrm>
                        <a:prstGeom prst="rect"/>
                        <a:solidFill>
                          <a:srgbClr val="FFFFFF"/>
                        </a:solidFill>
                      </wps:spPr>
                      <wps:txbx>
                        <w:txbxContent>
                          <w:p>
                            <w:pPr>
                              <w:pStyle w:val="TextBody"/>
                              <w:bidi w:val="0"/>
                              <w:spacing w:before="0" w:after="283"/>
                              <w:jc w:val="left"/>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16pt;height:16.1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before="0" w:after="283"/>
                        <w:jc w:val="left"/>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tbl>
      <w:tblPr>
        <w:tblW w:w="9272" w:type="dxa"/>
        <w:jc w:val="left"/>
        <w:tblInd w:w="893" w:type="dxa"/>
        <w:tblLayout w:type="fixed"/>
        <w:tblCellMar>
          <w:top w:w="0" w:type="dxa"/>
          <w:left w:w="0" w:type="dxa"/>
          <w:bottom w:w="0" w:type="dxa"/>
          <w:right w:w="0" w:type="dxa"/>
        </w:tblCellMar>
      </w:tblPr>
      <w:tblGrid>
        <w:gridCol w:w="124"/>
        <w:gridCol w:w="1845"/>
        <w:gridCol w:w="109"/>
        <w:gridCol w:w="109"/>
        <w:gridCol w:w="1569"/>
        <w:gridCol w:w="109"/>
        <w:gridCol w:w="109"/>
        <w:gridCol w:w="1569"/>
        <w:gridCol w:w="109"/>
        <w:gridCol w:w="109"/>
        <w:gridCol w:w="1569"/>
        <w:gridCol w:w="109"/>
        <w:gridCol w:w="109"/>
        <w:gridCol w:w="1569"/>
        <w:gridCol w:w="155"/>
      </w:tblGrid>
      <w:tr>
        <w:trPr/>
        <w:tc>
          <w:tcPr>
            <w:tcW w:w="124" w:type="dxa"/>
            <w:tcBorders/>
            <w:shd w:fill="000000" w:val="clear"/>
            <w:vAlign w:val="center"/>
          </w:tcPr>
          <w:p>
            <w:pPr>
              <w:pStyle w:val="TableContents"/>
              <w:bidi w:val="0"/>
              <w:spacing w:before="0" w:after="283"/>
              <w:jc w:val="left"/>
              <w:rPr/>
            </w:pPr>
            <w:r>
              <w:rPr/>
              <w:t>​</w:t>
            </w:r>
          </w:p>
        </w:tc>
        <w:tc>
          <w:tcPr>
            <w:tcW w:w="1845" w:type="dxa"/>
            <w:tcBorders/>
            <w:shd w:fill="000000" w:val="clear"/>
            <w:vAlign w:val="center"/>
          </w:tcPr>
          <w:p>
            <w:pPr>
              <w:pStyle w:val="TableContents"/>
              <w:bidi w:val="0"/>
              <w:spacing w:before="0" w:after="0"/>
              <w:jc w:val="left"/>
              <w:rPr/>
            </w:pPr>
            <w:r>
              <w:rPr/>
              <w:t xml:space="preserve">2022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69" w:type="dxa"/>
            <w:tcBorders/>
            <w:shd w:fill="000000" w:val="clear"/>
            <w:vAlign w:val="center"/>
          </w:tcPr>
          <w:p>
            <w:pPr>
              <w:pStyle w:val="TableContents"/>
              <w:bidi w:val="0"/>
              <w:spacing w:before="0" w:after="0"/>
              <w:jc w:val="left"/>
              <w:rPr/>
            </w:pPr>
            <w:r>
              <w:rPr/>
              <w:t xml:space="preserve">2023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69" w:type="dxa"/>
            <w:tcBorders/>
            <w:shd w:fill="000000" w:val="clear"/>
            <w:vAlign w:val="center"/>
          </w:tcPr>
          <w:p>
            <w:pPr>
              <w:pStyle w:val="TableContents"/>
              <w:bidi w:val="0"/>
              <w:spacing w:before="0" w:after="0"/>
              <w:jc w:val="left"/>
              <w:rPr/>
            </w:pPr>
            <w:r>
              <w:rPr/>
              <w:t xml:space="preserve">2024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69" w:type="dxa"/>
            <w:tcBorders/>
            <w:shd w:fill="000000" w:val="clear"/>
            <w:vAlign w:val="center"/>
          </w:tcPr>
          <w:p>
            <w:pPr>
              <w:pStyle w:val="TableContents"/>
              <w:bidi w:val="0"/>
              <w:spacing w:before="0" w:after="0"/>
              <w:jc w:val="left"/>
              <w:rPr/>
            </w:pPr>
            <w:r>
              <w:rPr/>
              <w:t xml:space="preserve">2025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69" w:type="dxa"/>
            <w:tcBorders/>
            <w:shd w:fill="000000" w:val="clear"/>
            <w:vAlign w:val="center"/>
          </w:tcPr>
          <w:p>
            <w:pPr>
              <w:pStyle w:val="TableContents"/>
              <w:bidi w:val="0"/>
              <w:spacing w:before="0" w:after="0"/>
              <w:jc w:val="left"/>
              <w:rPr/>
            </w:pPr>
            <w:r>
              <w:rPr/>
              <w:t xml:space="preserve">2026 </w:t>
            </w:r>
          </w:p>
        </w:tc>
        <w:tc>
          <w:tcPr>
            <w:tcW w:w="155"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845"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Mary Jane Raymond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69"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Mary Jane Raymond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69"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Richard Martucci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69"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Sherri Luther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69"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Sherri Luther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845"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Walter R. Bashaw II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69"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Walter R. Bashaw II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69"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Mary Jane Raymond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69"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Rob Beard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69"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Rob Beard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845"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Giovanni Barbarossa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69"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Giovanni Barbarossa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69"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Walter R. Bashaw II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69"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Julie Eng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69"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Julie Eng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845"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Jo Anne Schwendinger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69"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Mark Sobey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69"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Giovanni Barbarossa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69"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Giovanni Barbarossa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69"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Giovanni Barbarossa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845"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Christopher Koeppen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69" w:type="dxa"/>
            <w:tcBorders>
              <w:bottom w:val="single" w:sz="2" w:space="0" w:color="666666"/>
            </w:tcBorders>
            <w:tcMar>
              <w:bottom w:w="99"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69"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Ronald Basso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69"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Richard Martucci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69" w:type="dxa"/>
            <w:tcBorders>
              <w:bottom w:val="single" w:sz="2" w:space="0" w:color="666666"/>
            </w:tcBorders>
            <w:tcMar>
              <w:bottom w:w="99" w:type="dxa"/>
            </w:tcMar>
            <w:vAlign w:val="center"/>
          </w:tcPr>
          <w:p>
            <w:pPr>
              <w:pStyle w:val="TableContents"/>
              <w:bidi w:val="0"/>
              <w:spacing w:before="0" w:after="283"/>
              <w:jc w:val="left"/>
              <w:rPr>
                <w:spacing w:val="-1"/>
              </w:rPr>
            </w:pPr>
            <w:r>
              <w:rPr>
                <w:spacing w:val="-1"/>
              </w:rPr>
              <w:t xml:space="preserve">Jeffrey Place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1845" w:type="dxa"/>
            <w:tcBorders>
              <w:bottom w:val="single" w:sz="2" w:space="0" w:color="666666"/>
            </w:tcBorders>
            <w:tcMar>
              <w:bottom w:w="99"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6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69" w:type="dxa"/>
            <w:tcBorders>
              <w:bottom w:val="single" w:sz="2" w:space="0" w:color="666666"/>
            </w:tcBorders>
            <w:tcMar>
              <w:bottom w:w="99"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69" w:type="dxa"/>
            <w:tcBorders>
              <w:bottom w:val="single" w:sz="2" w:space="0" w:color="666666"/>
            </w:tcBorders>
            <w:tcMar>
              <w:bottom w:w="99"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569" w:type="dxa"/>
            <w:tcBorders>
              <w:bottom w:val="single" w:sz="2" w:space="0" w:color="666666"/>
            </w:tcBorders>
            <w:tcMar>
              <w:bottom w:w="99" w:type="dxa"/>
            </w:tcMar>
            <w:vAlign w:val="center"/>
          </w:tcPr>
          <w:p>
            <w:pPr>
              <w:pStyle w:val="TableContents"/>
              <w:bidi w:val="0"/>
              <w:spacing w:before="0" w:after="283"/>
              <w:jc w:val="left"/>
              <w:rPr/>
            </w:pPr>
            <w:r>
              <w:rPr>
                <w:spacing w:val="-1"/>
              </w:rPr>
              <w:t>Ilaria Mocciaro</w:t>
            </w:r>
            <w:r>
              <w:rPr/>
              <w:t xml:space="preserve"> </w:t>
            </w:r>
          </w:p>
        </w:tc>
        <w:tc>
          <w:tcPr>
            <w:tcW w:w="155"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20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127000" distB="0" distL="0" distR="0" simplePos="0" locked="0" layoutInCell="1" allowOverlap="1" relativeHeight="414">
                <wp:simplePos x="0" y="0"/>
                <wp:positionH relativeFrom="column">
                  <wp:align>left</wp:align>
                </wp:positionH>
                <wp:positionV relativeFrom="line">
                  <wp:align>top</wp:align>
                </wp:positionV>
                <wp:extent cx="203200" cy="204470"/>
                <wp:effectExtent l="0" t="0" r="0" b="0"/>
                <wp:wrapSquare wrapText="right"/>
                <wp:docPr id="422" name="Frame204"/>
                <a:graphic xmlns:a="http://schemas.openxmlformats.org/drawingml/2006/main">
                  <a:graphicData uri="http://schemas.microsoft.com/office/word/2010/wordprocessingShape">
                    <wps:wsp>
                      <wps:cNvSpPr txBox="1"/>
                      <wps:spPr>
                        <a:xfrm>
                          <a:off x="0" y="0"/>
                          <a:ext cx="203200" cy="204470"/>
                        </a:xfrm>
                        <a:prstGeom prst="rect"/>
                        <a:solidFill>
                          <a:srgbClr val="FFFFFF"/>
                        </a:solidFill>
                      </wps:spPr>
                      <wps:txbx>
                        <w:txbxContent>
                          <w:p>
                            <w:pPr>
                              <w:pStyle w:val="TextBody"/>
                              <w:bidi w:val="0"/>
                              <w:spacing w:before="0" w:after="283"/>
                              <w:jc w:val="left"/>
                              <w:rPr>
                                <w:sz w:val="14"/>
                              </w:rPr>
                            </w:pPr>
                            <w:r>
                              <w:rPr>
                                <w:spacing w:val="-1"/>
                                <w:sz w:val="14"/>
                              </w:rPr>
                              <w:t>2.</w:t>
                            </w:r>
                            <w:r>
                              <w:rPr>
                                <w:sz w:val="14"/>
                              </w:rPr>
                              <w:t xml:space="preserve"> </w:t>
                              <w:br/>
                            </w:r>
                          </w:p>
                        </w:txbxContent>
                      </wps:txbx>
                      <wps:bodyPr anchor="t" lIns="0" tIns="0" rIns="0" bIns="0">
                        <a:noAutofit/>
                      </wps:bodyPr>
                    </wps:wsp>
                  </a:graphicData>
                </a:graphic>
              </wp:anchor>
            </w:drawing>
          </mc:Choice>
          <mc:Fallback>
            <w:pict>
              <v:rect style="position:absolute;rotation:-0;width:16pt;height:16.1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before="0" w:after="283"/>
                        <w:jc w:val="left"/>
                        <w:rPr>
                          <w:sz w:val="14"/>
                        </w:rPr>
                      </w:pPr>
                      <w:r>
                        <w:rPr>
                          <w:spacing w:val="-1"/>
                          <w:sz w:val="14"/>
                        </w:rPr>
                        <w:t>2.</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Compensation Actually Paid reflects the exclusions and inclusions of certain amounts for the PEOs and the Non-PEO NEOs as set forth below. Equity values are calculated in accordance with FASB ASC Topic 718. Amounts in the Exclusion of Stock Awards column are the totals from the Stock Awards column set forth in the Summary Compensation Table.</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50800" distB="0" distL="0" distR="0" simplePos="0" locked="0" layoutInCell="1" allowOverlap="1" relativeHeight="415">
                <wp:simplePos x="0" y="0"/>
                <wp:positionH relativeFrom="column">
                  <wp:align>left</wp:align>
                </wp:positionH>
                <wp:positionV relativeFrom="line">
                  <wp:align>top</wp:align>
                </wp:positionV>
                <wp:extent cx="203200" cy="228600"/>
                <wp:effectExtent l="0" t="0" r="0" b="0"/>
                <wp:wrapSquare wrapText="right"/>
                <wp:docPr id="423" name="Frame205"/>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3.</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3.</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tbl>
      <w:tblPr>
        <w:tblW w:w="9272" w:type="dxa"/>
        <w:jc w:val="left"/>
        <w:tblInd w:w="893" w:type="dxa"/>
        <w:tblLayout w:type="fixed"/>
        <w:tblCellMar>
          <w:top w:w="0" w:type="dxa"/>
          <w:left w:w="0" w:type="dxa"/>
          <w:bottom w:w="0" w:type="dxa"/>
          <w:right w:w="0" w:type="dxa"/>
        </w:tblCellMar>
      </w:tblPr>
      <w:tblGrid>
        <w:gridCol w:w="124"/>
        <w:gridCol w:w="606"/>
        <w:gridCol w:w="109"/>
        <w:gridCol w:w="109"/>
        <w:gridCol w:w="1855"/>
        <w:gridCol w:w="109"/>
        <w:gridCol w:w="109"/>
        <w:gridCol w:w="1829"/>
        <w:gridCol w:w="109"/>
        <w:gridCol w:w="109"/>
        <w:gridCol w:w="1826"/>
        <w:gridCol w:w="109"/>
        <w:gridCol w:w="109"/>
        <w:gridCol w:w="2003"/>
        <w:gridCol w:w="157"/>
      </w:tblGrid>
      <w:tr>
        <w:trPr/>
        <w:tc>
          <w:tcPr>
            <w:tcW w:w="124" w:type="dxa"/>
            <w:tcBorders/>
            <w:shd w:fill="000000" w:val="clear"/>
            <w:vAlign w:val="center"/>
          </w:tcPr>
          <w:p>
            <w:pPr>
              <w:pStyle w:val="TableContents"/>
              <w:bidi w:val="0"/>
              <w:spacing w:before="0" w:after="283"/>
              <w:jc w:val="left"/>
              <w:rPr/>
            </w:pPr>
            <w:r>
              <w:rPr/>
              <w:t>​</w:t>
            </w:r>
          </w:p>
        </w:tc>
        <w:tc>
          <w:tcPr>
            <w:tcW w:w="606" w:type="dxa"/>
            <w:tcBorders/>
            <w:shd w:fill="000000" w:val="clear"/>
            <w:vAlign w:val="center"/>
          </w:tcPr>
          <w:p>
            <w:pPr>
              <w:pStyle w:val="TableContents"/>
              <w:bidi w:val="0"/>
              <w:spacing w:before="0" w:after="0"/>
              <w:jc w:val="left"/>
              <w:rPr/>
            </w:pPr>
            <w:r>
              <w:rPr/>
              <w:t xml:space="preserve">Year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855" w:type="dxa"/>
            <w:tcBorders/>
            <w:shd w:fill="000000" w:val="clear"/>
            <w:vAlign w:val="center"/>
          </w:tcPr>
          <w:p>
            <w:pPr>
              <w:pStyle w:val="TableContents"/>
              <w:bidi w:val="0"/>
              <w:spacing w:lineRule="atLeast" w:line="157" w:before="0" w:after="0"/>
              <w:jc w:val="center"/>
              <w:rPr/>
            </w:pPr>
            <w:r>
              <w:rPr/>
              <w:t>Summary Compensation</w:t>
              <w:br/>
              <w:t>Table Total for PEO 1</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829" w:type="dxa"/>
            <w:tcBorders/>
            <w:shd w:fill="000000" w:val="clear"/>
            <w:vAlign w:val="center"/>
          </w:tcPr>
          <w:p>
            <w:pPr>
              <w:pStyle w:val="TableContents"/>
              <w:bidi w:val="0"/>
              <w:spacing w:lineRule="atLeast" w:line="157" w:before="0" w:after="0"/>
              <w:jc w:val="center"/>
              <w:rPr/>
            </w:pPr>
            <w:r>
              <w:rPr/>
              <w:t>Exclusion of Stock Awards</w:t>
              <w:br/>
              <w:t>for PEO 1</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826" w:type="dxa"/>
            <w:tcBorders/>
            <w:shd w:fill="000000" w:val="clear"/>
            <w:vAlign w:val="center"/>
          </w:tcPr>
          <w:p>
            <w:pPr>
              <w:pStyle w:val="TableContents"/>
              <w:bidi w:val="0"/>
              <w:spacing w:lineRule="atLeast" w:line="157" w:before="0" w:after="0"/>
              <w:jc w:val="center"/>
              <w:rPr/>
            </w:pPr>
            <w:r>
              <w:rPr/>
              <w:t>Inclusion of Equity Values</w:t>
              <w:br/>
              <w:t>for PEO 1</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003" w:type="dxa"/>
            <w:tcBorders/>
            <w:shd w:fill="000000" w:val="clear"/>
            <w:vAlign w:val="center"/>
          </w:tcPr>
          <w:p>
            <w:pPr>
              <w:pStyle w:val="TableContents"/>
              <w:bidi w:val="0"/>
              <w:spacing w:lineRule="atLeast" w:line="157" w:before="0" w:after="0"/>
              <w:jc w:val="center"/>
              <w:rPr/>
            </w:pPr>
            <w:r>
              <w:rPr/>
              <w:t>Compensation Actually Paid</w:t>
              <w:br/>
              <w:t>to PEO 1</w:t>
              <w:br/>
              <w:t xml:space="preserve">($) </w:t>
            </w:r>
          </w:p>
        </w:tc>
        <w:tc>
          <w:tcPr>
            <w:tcW w:w="157"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606" w:type="dxa"/>
            <w:tcBorders>
              <w:bottom w:val="single" w:sz="2" w:space="0" w:color="666666"/>
            </w:tcBorders>
            <w:tcMar>
              <w:bottom w:w="143" w:type="dxa"/>
            </w:tcMar>
            <w:vAlign w:val="center"/>
          </w:tcPr>
          <w:p>
            <w:pPr>
              <w:pStyle w:val="TableContents"/>
              <w:bidi w:val="0"/>
              <w:spacing w:before="0" w:after="283"/>
              <w:jc w:val="left"/>
              <w:rPr>
                <w:spacing w:val="-1"/>
              </w:rPr>
            </w:pPr>
            <w:r>
              <w:rPr>
                <w:spacing w:val="-1"/>
              </w:rPr>
              <w:t xml:space="preserve">2026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855" w:type="dxa"/>
            <w:tcBorders>
              <w:bottom w:val="single" w:sz="2" w:space="0" w:color="666666"/>
            </w:tcBorders>
            <w:tcMar>
              <w:bottom w:w="143" w:type="dxa"/>
            </w:tcMar>
            <w:vAlign w:val="center"/>
          </w:tcPr>
          <w:p>
            <w:pPr>
              <w:pStyle w:val="TableContents"/>
              <w:bidi w:val="0"/>
              <w:spacing w:before="0" w:after="0"/>
              <w:jc w:val="center"/>
              <w:rPr>
                <w:spacing w:val="-1"/>
              </w:rPr>
            </w:pPr>
            <w:r>
              <w:rPr>
                <w:spacing w:val="-1"/>
              </w:rPr>
              <w:t xml:space="preserve">28,349,672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829" w:type="dxa"/>
            <w:tcBorders>
              <w:bottom w:val="single" w:sz="2" w:space="0" w:color="666666"/>
            </w:tcBorders>
            <w:tcMar>
              <w:bottom w:w="143" w:type="dxa"/>
            </w:tcMar>
            <w:vAlign w:val="center"/>
          </w:tcPr>
          <w:p>
            <w:pPr>
              <w:pStyle w:val="TableContents"/>
              <w:bidi w:val="0"/>
              <w:spacing w:before="0" w:after="0"/>
              <w:jc w:val="center"/>
              <w:rPr>
                <w:spacing w:val="-1"/>
              </w:rPr>
            </w:pPr>
            <w:r>
              <w:rPr>
                <w:spacing w:val="-1"/>
              </w:rPr>
              <w:t xml:space="preserve">(23,779,354)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826" w:type="dxa"/>
            <w:tcBorders>
              <w:bottom w:val="single" w:sz="2" w:space="0" w:color="666666"/>
            </w:tcBorders>
            <w:tcMar>
              <w:bottom w:w="143" w:type="dxa"/>
            </w:tcMar>
            <w:vAlign w:val="center"/>
          </w:tcPr>
          <w:p>
            <w:pPr>
              <w:pStyle w:val="TableContents"/>
              <w:bidi w:val="0"/>
              <w:spacing w:before="0" w:after="0"/>
              <w:jc w:val="center"/>
              <w:rPr>
                <w:spacing w:val="-1"/>
              </w:rPr>
            </w:pPr>
            <w:r>
              <w:rPr>
                <w:spacing w:val="-1"/>
              </w:rPr>
              <w:t xml:space="preserve">708,969,807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003" w:type="dxa"/>
            <w:tcBorders>
              <w:bottom w:val="single" w:sz="2" w:space="0" w:color="666666"/>
            </w:tcBorders>
            <w:tcMar>
              <w:bottom w:w="143" w:type="dxa"/>
            </w:tcMar>
            <w:vAlign w:val="center"/>
          </w:tcPr>
          <w:p>
            <w:pPr>
              <w:pStyle w:val="TableContents"/>
              <w:bidi w:val="0"/>
              <w:spacing w:before="0" w:after="0"/>
              <w:jc w:val="center"/>
              <w:rPr/>
            </w:pPr>
            <w:r>
              <w:rPr>
                <w:spacing w:val="-1"/>
              </w:rPr>
              <w:t>713,540,125</w:t>
            </w:r>
            <w:r>
              <w:rPr/>
              <w:t xml:space="preserve">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bl>
    <w:tbl>
      <w:tblPr>
        <w:tblW w:w="9272" w:type="dxa"/>
        <w:jc w:val="left"/>
        <w:tblInd w:w="893" w:type="dxa"/>
        <w:tblLayout w:type="fixed"/>
        <w:tblCellMar>
          <w:top w:w="0" w:type="dxa"/>
          <w:left w:w="0" w:type="dxa"/>
          <w:bottom w:w="0" w:type="dxa"/>
          <w:right w:w="0" w:type="dxa"/>
        </w:tblCellMar>
      </w:tblPr>
      <w:tblGrid>
        <w:gridCol w:w="124"/>
        <w:gridCol w:w="607"/>
        <w:gridCol w:w="109"/>
        <w:gridCol w:w="109"/>
        <w:gridCol w:w="1917"/>
        <w:gridCol w:w="109"/>
        <w:gridCol w:w="109"/>
        <w:gridCol w:w="1786"/>
        <w:gridCol w:w="109"/>
        <w:gridCol w:w="109"/>
        <w:gridCol w:w="1781"/>
        <w:gridCol w:w="109"/>
        <w:gridCol w:w="109"/>
        <w:gridCol w:w="2028"/>
        <w:gridCol w:w="157"/>
      </w:tblGrid>
      <w:tr>
        <w:trPr/>
        <w:tc>
          <w:tcPr>
            <w:tcW w:w="124" w:type="dxa"/>
            <w:tcBorders/>
            <w:shd w:fill="000000" w:val="clear"/>
            <w:vAlign w:val="center"/>
          </w:tcPr>
          <w:p>
            <w:pPr>
              <w:pStyle w:val="TableContents"/>
              <w:bidi w:val="0"/>
              <w:spacing w:before="0" w:after="283"/>
              <w:jc w:val="left"/>
              <w:rPr/>
            </w:pPr>
            <w:r>
              <w:rPr/>
              <w:t>​</w:t>
            </w:r>
          </w:p>
        </w:tc>
        <w:tc>
          <w:tcPr>
            <w:tcW w:w="607" w:type="dxa"/>
            <w:tcBorders/>
            <w:shd w:fill="000000" w:val="clear"/>
            <w:vAlign w:val="center"/>
          </w:tcPr>
          <w:p>
            <w:pPr>
              <w:pStyle w:val="TableContents"/>
              <w:bidi w:val="0"/>
              <w:spacing w:before="0" w:after="0"/>
              <w:jc w:val="left"/>
              <w:rPr/>
            </w:pPr>
            <w:r>
              <w:rPr/>
              <w:t xml:space="preserve">Year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917" w:type="dxa"/>
            <w:tcBorders/>
            <w:shd w:fill="000000" w:val="clear"/>
            <w:vAlign w:val="center"/>
          </w:tcPr>
          <w:p>
            <w:pPr>
              <w:pStyle w:val="TableContents"/>
              <w:bidi w:val="0"/>
              <w:spacing w:before="0" w:after="0"/>
              <w:jc w:val="center"/>
              <w:rPr/>
            </w:pPr>
            <w:r>
              <w:rPr/>
              <w:t>Summary Compensation</w:t>
              <w:br/>
              <w:t>Table Total for Non-PEO</w:t>
              <w:br/>
              <w:t>NEOs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86" w:type="dxa"/>
            <w:tcBorders/>
            <w:shd w:fill="000000" w:val="clear"/>
            <w:vAlign w:val="center"/>
          </w:tcPr>
          <w:p>
            <w:pPr>
              <w:pStyle w:val="TableContents"/>
              <w:bidi w:val="0"/>
              <w:spacing w:before="0" w:after="0"/>
              <w:jc w:val="center"/>
              <w:rPr/>
            </w:pPr>
            <w:r>
              <w:rPr/>
              <w:t>Exclusion of Stock Awards</w:t>
              <w:br/>
              <w:t>for Non-PEO NEOs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81" w:type="dxa"/>
            <w:tcBorders/>
            <w:shd w:fill="000000" w:val="clear"/>
            <w:vAlign w:val="center"/>
          </w:tcPr>
          <w:p>
            <w:pPr>
              <w:pStyle w:val="TableContents"/>
              <w:bidi w:val="0"/>
              <w:spacing w:before="0" w:after="0"/>
              <w:jc w:val="center"/>
              <w:rPr/>
            </w:pPr>
            <w:r>
              <w:rPr/>
              <w:t>Inclusion of Equity Values</w:t>
              <w:br/>
              <w:t>for Non-PEO NEOs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028" w:type="dxa"/>
            <w:tcBorders/>
            <w:shd w:fill="000000" w:val="clear"/>
            <w:vAlign w:val="center"/>
          </w:tcPr>
          <w:p>
            <w:pPr>
              <w:pStyle w:val="TableContents"/>
              <w:bidi w:val="0"/>
              <w:spacing w:before="0" w:after="0"/>
              <w:jc w:val="center"/>
              <w:rPr/>
            </w:pPr>
            <w:r>
              <w:rPr/>
              <w:t>Compensation Actually Paid</w:t>
              <w:br/>
              <w:t>to Non-PEO NEOs</w:t>
              <w:br/>
              <w:t xml:space="preserve">($) </w:t>
            </w:r>
          </w:p>
        </w:tc>
        <w:tc>
          <w:tcPr>
            <w:tcW w:w="157"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607" w:type="dxa"/>
            <w:tcBorders>
              <w:bottom w:val="single" w:sz="2" w:space="0" w:color="666666"/>
            </w:tcBorders>
            <w:tcMar>
              <w:bottom w:w="143" w:type="dxa"/>
            </w:tcMar>
            <w:vAlign w:val="center"/>
          </w:tcPr>
          <w:p>
            <w:pPr>
              <w:pStyle w:val="TableContents"/>
              <w:bidi w:val="0"/>
              <w:spacing w:before="0" w:after="283"/>
              <w:jc w:val="left"/>
              <w:rPr>
                <w:spacing w:val="-1"/>
              </w:rPr>
            </w:pPr>
            <w:r>
              <w:rPr>
                <w:spacing w:val="-1"/>
              </w:rPr>
              <w:t xml:space="preserve">2026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917" w:type="dxa"/>
            <w:tcBorders>
              <w:bottom w:val="single" w:sz="2" w:space="0" w:color="666666"/>
            </w:tcBorders>
            <w:tcMar>
              <w:bottom w:w="143" w:type="dxa"/>
            </w:tcMar>
            <w:vAlign w:val="center"/>
          </w:tcPr>
          <w:p>
            <w:pPr>
              <w:pStyle w:val="TableContents"/>
              <w:bidi w:val="0"/>
              <w:spacing w:before="0" w:after="0"/>
              <w:jc w:val="center"/>
              <w:rPr>
                <w:spacing w:val="-1"/>
              </w:rPr>
            </w:pPr>
            <w:r>
              <w:rPr>
                <w:spacing w:val="-1"/>
              </w:rPr>
              <w:t xml:space="preserve">6,279,618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786" w:type="dxa"/>
            <w:tcBorders>
              <w:bottom w:val="single" w:sz="2" w:space="0" w:color="666666"/>
            </w:tcBorders>
            <w:tcMar>
              <w:bottom w:w="143" w:type="dxa"/>
            </w:tcMar>
            <w:vAlign w:val="center"/>
          </w:tcPr>
          <w:p>
            <w:pPr>
              <w:pStyle w:val="TableContents"/>
              <w:bidi w:val="0"/>
              <w:spacing w:before="0" w:after="0"/>
              <w:jc w:val="center"/>
              <w:rPr>
                <w:spacing w:val="-1"/>
              </w:rPr>
            </w:pPr>
            <w:r>
              <w:rPr>
                <w:spacing w:val="-1"/>
              </w:rPr>
              <w:t xml:space="preserve">(4,743,591)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781" w:type="dxa"/>
            <w:tcBorders>
              <w:bottom w:val="single" w:sz="2" w:space="0" w:color="666666"/>
            </w:tcBorders>
            <w:tcMar>
              <w:bottom w:w="143" w:type="dxa"/>
            </w:tcMar>
            <w:vAlign w:val="center"/>
          </w:tcPr>
          <w:p>
            <w:pPr>
              <w:pStyle w:val="TableContents"/>
              <w:bidi w:val="0"/>
              <w:spacing w:before="0" w:after="0"/>
              <w:jc w:val="center"/>
              <w:rPr>
                <w:spacing w:val="-1"/>
              </w:rPr>
            </w:pPr>
            <w:r>
              <w:rPr>
                <w:spacing w:val="-1"/>
              </w:rPr>
              <w:t xml:space="preserve">55,861,474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2028" w:type="dxa"/>
            <w:tcBorders>
              <w:bottom w:val="single" w:sz="2" w:space="0" w:color="666666"/>
            </w:tcBorders>
            <w:tcMar>
              <w:bottom w:w="143" w:type="dxa"/>
            </w:tcMar>
            <w:vAlign w:val="center"/>
          </w:tcPr>
          <w:p>
            <w:pPr>
              <w:pStyle w:val="TableContents"/>
              <w:bidi w:val="0"/>
              <w:spacing w:before="0" w:after="0"/>
              <w:jc w:val="center"/>
              <w:rPr/>
            </w:pPr>
            <w:r>
              <w:rPr>
                <w:spacing w:val="-1"/>
              </w:rPr>
              <w:t>57,397,501</w:t>
            </w:r>
            <w:r>
              <w:rPr/>
              <w:t xml:space="preserve"> </w:t>
            </w:r>
          </w:p>
        </w:tc>
        <w:tc>
          <w:tcPr>
            <w:tcW w:w="157"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76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180" w:before="120" w:after="625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The amounts in the Inclusion of Equity Values in the tables above are derived from the amounts set forth in the following tables:</w:t>
      </w:r>
      <w:r>
        <w:rPr>
          <w:rFonts w:ascii="Arial;Helvetica;sans-serif" w:hAnsi="Arial;Helvetica;sans-serif"/>
          <w:b w:val="false"/>
          <w:i w:val="false"/>
          <w:caps w:val="false"/>
          <w:smallCaps w:val="false"/>
          <w:color w:val="000000"/>
          <w:spacing w:val="3"/>
          <w:sz w:val="14"/>
          <w:shd w:fill="FFFFFF" w:val="clear"/>
        </w:rPr>
        <w:t xml:space="preserve"> </w:t>
      </w:r>
    </w:p>
    <w:tbl>
      <w:tblPr>
        <w:tblW w:w="9561" w:type="dxa"/>
        <w:jc w:val="left"/>
        <w:tblInd w:w="893" w:type="dxa"/>
        <w:tblLayout w:type="fixed"/>
        <w:tblCellMar>
          <w:top w:w="0" w:type="dxa"/>
          <w:left w:w="0" w:type="dxa"/>
          <w:bottom w:w="0" w:type="dxa"/>
          <w:right w:w="0" w:type="dxa"/>
        </w:tblCellMar>
      </w:tblPr>
      <w:tblGrid>
        <w:gridCol w:w="124"/>
        <w:gridCol w:w="583"/>
        <w:gridCol w:w="109"/>
        <w:gridCol w:w="109"/>
        <w:gridCol w:w="1296"/>
        <w:gridCol w:w="109"/>
        <w:gridCol w:w="109"/>
        <w:gridCol w:w="1296"/>
        <w:gridCol w:w="109"/>
        <w:gridCol w:w="109"/>
        <w:gridCol w:w="1366"/>
        <w:gridCol w:w="109"/>
        <w:gridCol w:w="109"/>
        <w:gridCol w:w="1177"/>
        <w:gridCol w:w="109"/>
        <w:gridCol w:w="109"/>
        <w:gridCol w:w="961"/>
        <w:gridCol w:w="109"/>
        <w:gridCol w:w="109"/>
        <w:gridCol w:w="1296"/>
        <w:gridCol w:w="154"/>
      </w:tblGrid>
      <w:tr>
        <w:trPr/>
        <w:tc>
          <w:tcPr>
            <w:tcW w:w="124" w:type="dxa"/>
            <w:tcBorders/>
            <w:shd w:fill="000000" w:val="clear"/>
            <w:vAlign w:val="center"/>
          </w:tcPr>
          <w:p>
            <w:pPr>
              <w:pStyle w:val="TableContents"/>
              <w:bidi w:val="0"/>
              <w:spacing w:before="0" w:after="283"/>
              <w:jc w:val="left"/>
              <w:rPr/>
            </w:pPr>
            <w:r>
              <w:rPr/>
              <w:t>​</w:t>
            </w:r>
          </w:p>
        </w:tc>
        <w:tc>
          <w:tcPr>
            <w:tcW w:w="583" w:type="dxa"/>
            <w:tcBorders/>
            <w:shd w:fill="000000" w:val="clear"/>
            <w:vAlign w:val="center"/>
          </w:tcPr>
          <w:p>
            <w:pPr>
              <w:pStyle w:val="TableContents"/>
              <w:bidi w:val="0"/>
              <w:spacing w:before="0" w:after="0"/>
              <w:jc w:val="left"/>
              <w:rPr/>
            </w:pPr>
            <w:r>
              <w:rPr/>
              <w:t xml:space="preserve">Year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96" w:type="dxa"/>
            <w:tcBorders/>
            <w:shd w:fill="000000" w:val="clear"/>
            <w:vAlign w:val="center"/>
          </w:tcPr>
          <w:p>
            <w:pPr>
              <w:pStyle w:val="TableContents"/>
              <w:bidi w:val="0"/>
              <w:spacing w:before="0" w:after="0"/>
              <w:jc w:val="center"/>
              <w:rPr/>
            </w:pPr>
            <w:r>
              <w:rPr/>
              <w:t>Year-End Fair Value</w:t>
              <w:br/>
              <w:t>of Equity Awards</w:t>
              <w:br/>
              <w:t>Granted During</w:t>
              <w:br/>
              <w:t>Year That Remained</w:t>
              <w:br/>
              <w:t>Unvested as of Last</w:t>
              <w:br/>
              <w:t>Day of Year for PEO</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96" w:type="dxa"/>
            <w:tcBorders/>
            <w:shd w:fill="000000" w:val="clear"/>
            <w:vAlign w:val="center"/>
          </w:tcPr>
          <w:p>
            <w:pPr>
              <w:pStyle w:val="TableContents"/>
              <w:bidi w:val="0"/>
              <w:spacing w:before="0" w:after="0"/>
              <w:jc w:val="center"/>
              <w:rPr/>
            </w:pPr>
            <w:r>
              <w:rPr/>
              <w:t>Change in Fair</w:t>
              <w:br/>
              <w:t>Value from Last Day</w:t>
              <w:br/>
              <w:t>of Prior Year to Last</w:t>
              <w:br/>
              <w:t>Day of Year of</w:t>
              <w:br/>
              <w:t>Unvested Equity</w:t>
              <w:br/>
              <w:t>Awards for PEO</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66" w:type="dxa"/>
            <w:tcBorders/>
            <w:shd w:fill="000000" w:val="clear"/>
            <w:vAlign w:val="center"/>
          </w:tcPr>
          <w:p>
            <w:pPr>
              <w:pStyle w:val="TableContents"/>
              <w:bidi w:val="0"/>
              <w:spacing w:before="0" w:after="0"/>
              <w:jc w:val="center"/>
              <w:rPr/>
            </w:pPr>
            <w:r>
              <w:rPr/>
              <w:t>Vesting-Date Fair</w:t>
              <w:br/>
              <w:t>Value of Equity</w:t>
              <w:br/>
              <w:t>Awards Granted</w:t>
              <w:br/>
              <w:t>During Year that</w:t>
              <w:br/>
              <w:t>Vested During Year</w:t>
              <w:br/>
              <w:t>for PEO</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77" w:type="dxa"/>
            <w:tcBorders/>
            <w:shd w:fill="000000" w:val="clear"/>
            <w:vAlign w:val="center"/>
          </w:tcPr>
          <w:p>
            <w:pPr>
              <w:pStyle w:val="TableContents"/>
              <w:bidi w:val="0"/>
              <w:spacing w:before="0" w:after="0"/>
              <w:jc w:val="center"/>
              <w:rPr/>
            </w:pPr>
            <w:r>
              <w:rPr/>
              <w:t>Change in Fair</w:t>
              <w:br/>
              <w:t>Value from Last Day</w:t>
              <w:br/>
              <w:t>of Prior Year to</w:t>
              <w:br/>
              <w:t>Vesting Date of</w:t>
              <w:br/>
              <w:t>Unvested Equity</w:t>
              <w:br/>
              <w:t>Awards that Vested</w:t>
              <w:br/>
              <w:t>During Year for PEO</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961" w:type="dxa"/>
            <w:tcBorders/>
            <w:shd w:fill="000000" w:val="clear"/>
            <w:vAlign w:val="center"/>
          </w:tcPr>
          <w:p>
            <w:pPr>
              <w:pStyle w:val="TableContents"/>
              <w:bidi w:val="0"/>
              <w:spacing w:before="0" w:after="0"/>
              <w:jc w:val="center"/>
              <w:rPr/>
            </w:pPr>
            <w:r>
              <w:rPr/>
              <w:t>Fair Value at Last</w:t>
              <w:br/>
              <w:t>Day of Prior Year of</w:t>
              <w:br/>
              <w:t>Equity Awards</w:t>
              <w:br/>
              <w:t>Forfeited During</w:t>
              <w:br/>
              <w:t>Year for PEO</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96" w:type="dxa"/>
            <w:tcBorders/>
            <w:shd w:fill="000000" w:val="clear"/>
            <w:vAlign w:val="center"/>
          </w:tcPr>
          <w:p>
            <w:pPr>
              <w:pStyle w:val="TableContents"/>
              <w:bidi w:val="0"/>
              <w:spacing w:before="0" w:after="0"/>
              <w:jc w:val="center"/>
              <w:rPr/>
            </w:pPr>
            <w:r>
              <w:rPr/>
              <w:t>Total – </w:t>
              <w:br/>
              <w:t>Inclusion of</w:t>
              <w:br/>
              <w:t>Equity Values</w:t>
              <w:br/>
              <w:t>for PEO</w:t>
              <w:br/>
              <w:t xml:space="preserve">($)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583" w:type="dxa"/>
            <w:tcBorders>
              <w:bottom w:val="single" w:sz="2" w:space="0" w:color="666666"/>
            </w:tcBorders>
            <w:tcMar>
              <w:bottom w:w="143" w:type="dxa"/>
            </w:tcMar>
            <w:vAlign w:val="center"/>
          </w:tcPr>
          <w:p>
            <w:pPr>
              <w:pStyle w:val="TableContents"/>
              <w:bidi w:val="0"/>
              <w:spacing w:before="0" w:after="283"/>
              <w:jc w:val="left"/>
              <w:rPr>
                <w:spacing w:val="-1"/>
              </w:rPr>
            </w:pPr>
            <w:r>
              <w:rPr>
                <w:spacing w:val="-1"/>
              </w:rPr>
              <w:t xml:space="preserve">2026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96" w:type="dxa"/>
            <w:tcBorders>
              <w:bottom w:val="single" w:sz="2" w:space="0" w:color="666666"/>
            </w:tcBorders>
            <w:tcMar>
              <w:bottom w:w="143" w:type="dxa"/>
            </w:tcMar>
            <w:vAlign w:val="center"/>
          </w:tcPr>
          <w:p>
            <w:pPr>
              <w:pStyle w:val="TableContents"/>
              <w:bidi w:val="0"/>
              <w:spacing w:before="0" w:after="0"/>
              <w:jc w:val="center"/>
              <w:rPr>
                <w:spacing w:val="-1"/>
              </w:rPr>
            </w:pPr>
            <w:r>
              <w:rPr>
                <w:spacing w:val="-1"/>
              </w:rPr>
              <w:t xml:space="preserve">123,296,071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96" w:type="dxa"/>
            <w:tcBorders>
              <w:bottom w:val="single" w:sz="2" w:space="0" w:color="666666"/>
            </w:tcBorders>
            <w:tcMar>
              <w:bottom w:w="143" w:type="dxa"/>
            </w:tcMar>
            <w:vAlign w:val="center"/>
          </w:tcPr>
          <w:p>
            <w:pPr>
              <w:pStyle w:val="TableContents"/>
              <w:bidi w:val="0"/>
              <w:spacing w:before="0" w:after="0"/>
              <w:jc w:val="center"/>
              <w:rPr>
                <w:spacing w:val="-1"/>
              </w:rPr>
            </w:pPr>
            <w:r>
              <w:rPr>
                <w:spacing w:val="-1"/>
              </w:rPr>
              <w:t xml:space="preserve">569,567,652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66" w:type="dxa"/>
            <w:tcBorders>
              <w:bottom w:val="single" w:sz="2" w:space="0" w:color="666666"/>
            </w:tcBorders>
            <w:tcMar>
              <w:bottom w:w="143"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7" w:type="dxa"/>
            <w:tcBorders>
              <w:bottom w:val="single" w:sz="2" w:space="0" w:color="666666"/>
            </w:tcBorders>
            <w:tcMar>
              <w:bottom w:w="143" w:type="dxa"/>
            </w:tcMar>
            <w:vAlign w:val="center"/>
          </w:tcPr>
          <w:p>
            <w:pPr>
              <w:pStyle w:val="TableContents"/>
              <w:bidi w:val="0"/>
              <w:spacing w:before="0" w:after="0"/>
              <w:jc w:val="center"/>
              <w:rPr>
                <w:spacing w:val="-1"/>
              </w:rPr>
            </w:pPr>
            <w:r>
              <w:rPr>
                <w:spacing w:val="-1"/>
              </w:rPr>
              <w:t xml:space="preserve">16,106,084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961" w:type="dxa"/>
            <w:tcBorders>
              <w:bottom w:val="single" w:sz="2" w:space="0" w:color="666666"/>
            </w:tcBorders>
            <w:tcMar>
              <w:bottom w:w="143"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296" w:type="dxa"/>
            <w:tcBorders>
              <w:bottom w:val="single" w:sz="2" w:space="0" w:color="666666"/>
            </w:tcBorders>
            <w:tcMar>
              <w:bottom w:w="143" w:type="dxa"/>
            </w:tcMar>
            <w:vAlign w:val="center"/>
          </w:tcPr>
          <w:p>
            <w:pPr>
              <w:pStyle w:val="TableContents"/>
              <w:bidi w:val="0"/>
              <w:spacing w:before="0" w:after="0"/>
              <w:jc w:val="center"/>
              <w:rPr/>
            </w:pPr>
            <w:r>
              <w:rPr>
                <w:spacing w:val="-1"/>
              </w:rPr>
              <w:t>708,969,807</w:t>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bl>
    <w:tbl>
      <w:tblPr>
        <w:tblW w:w="9272" w:type="dxa"/>
        <w:jc w:val="left"/>
        <w:tblInd w:w="893" w:type="dxa"/>
        <w:tblLayout w:type="fixed"/>
        <w:tblCellMar>
          <w:top w:w="0" w:type="dxa"/>
          <w:left w:w="0" w:type="dxa"/>
          <w:bottom w:w="0" w:type="dxa"/>
          <w:right w:w="0" w:type="dxa"/>
        </w:tblCellMar>
      </w:tblPr>
      <w:tblGrid>
        <w:gridCol w:w="124"/>
        <w:gridCol w:w="583"/>
        <w:gridCol w:w="109"/>
        <w:gridCol w:w="109"/>
        <w:gridCol w:w="1190"/>
        <w:gridCol w:w="109"/>
        <w:gridCol w:w="109"/>
        <w:gridCol w:w="1191"/>
        <w:gridCol w:w="109"/>
        <w:gridCol w:w="109"/>
        <w:gridCol w:w="1379"/>
        <w:gridCol w:w="109"/>
        <w:gridCol w:w="109"/>
        <w:gridCol w:w="1082"/>
        <w:gridCol w:w="109"/>
        <w:gridCol w:w="109"/>
        <w:gridCol w:w="1080"/>
        <w:gridCol w:w="109"/>
        <w:gridCol w:w="109"/>
        <w:gridCol w:w="1177"/>
        <w:gridCol w:w="158"/>
      </w:tblGrid>
      <w:tr>
        <w:trPr/>
        <w:tc>
          <w:tcPr>
            <w:tcW w:w="124" w:type="dxa"/>
            <w:tcBorders/>
            <w:shd w:fill="000000" w:val="clear"/>
            <w:vAlign w:val="center"/>
          </w:tcPr>
          <w:p>
            <w:pPr>
              <w:pStyle w:val="TableContents"/>
              <w:bidi w:val="0"/>
              <w:spacing w:before="0" w:after="283"/>
              <w:jc w:val="left"/>
              <w:rPr/>
            </w:pPr>
            <w:r>
              <w:rPr/>
              <w:t>​</w:t>
            </w:r>
          </w:p>
        </w:tc>
        <w:tc>
          <w:tcPr>
            <w:tcW w:w="583" w:type="dxa"/>
            <w:tcBorders/>
            <w:shd w:fill="000000" w:val="clear"/>
            <w:vAlign w:val="center"/>
          </w:tcPr>
          <w:p>
            <w:pPr>
              <w:pStyle w:val="TableContents"/>
              <w:bidi w:val="0"/>
              <w:spacing w:before="0" w:after="0"/>
              <w:jc w:val="left"/>
              <w:rPr/>
            </w:pPr>
            <w:r>
              <w:rPr/>
              <w:t xml:space="preserve">Year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90" w:type="dxa"/>
            <w:tcBorders/>
            <w:shd w:fill="000000" w:val="clear"/>
            <w:vAlign w:val="center"/>
          </w:tcPr>
          <w:p>
            <w:pPr>
              <w:pStyle w:val="TableContents"/>
              <w:bidi w:val="0"/>
              <w:spacing w:before="0" w:after="0"/>
              <w:jc w:val="center"/>
              <w:rPr/>
            </w:pPr>
            <w:r>
              <w:rPr/>
              <w:t>Average Year-End</w:t>
              <w:br/>
              <w:t>Fair Value of Equity</w:t>
              <w:br/>
              <w:t>Awards Granted</w:t>
              <w:br/>
              <w:t>During Year That</w:t>
              <w:br/>
              <w:t>Remained Unvested</w:t>
              <w:br/>
              <w:t>as of Last Day of</w:t>
              <w:br/>
              <w:t>Year for Non-PEO</w:t>
              <w:br/>
              <w:t>NEOs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91" w:type="dxa"/>
            <w:tcBorders/>
            <w:shd w:fill="000000" w:val="clear"/>
            <w:vAlign w:val="center"/>
          </w:tcPr>
          <w:p>
            <w:pPr>
              <w:pStyle w:val="TableContents"/>
              <w:bidi w:val="0"/>
              <w:spacing w:before="0" w:after="0"/>
              <w:jc w:val="center"/>
              <w:rPr/>
            </w:pPr>
            <w:r>
              <w:rPr/>
              <w:t>Average Change in</w:t>
              <w:br/>
              <w:t>Fair Value from Last</w:t>
              <w:br/>
              <w:t>Day of Prior Year to</w:t>
              <w:br/>
              <w:t>Last Day of Year of</w:t>
              <w:br/>
              <w:t>Unvested Equity</w:t>
              <w:br/>
              <w:t>Awards for</w:t>
              <w:br/>
              <w:t>Non-PEO NEOs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79" w:type="dxa"/>
            <w:tcBorders/>
            <w:shd w:fill="000000" w:val="clear"/>
            <w:vAlign w:val="center"/>
          </w:tcPr>
          <w:p>
            <w:pPr>
              <w:pStyle w:val="TableContents"/>
              <w:bidi w:val="0"/>
              <w:spacing w:before="0" w:after="0"/>
              <w:jc w:val="center"/>
              <w:rPr/>
            </w:pPr>
            <w:r>
              <w:rPr/>
              <w:t>Average Vesting-Date</w:t>
              <w:br/>
              <w:t>Fair Value of</w:t>
              <w:br/>
              <w:t>Equity Awards</w:t>
              <w:br/>
              <w:t>Granted During</w:t>
              <w:br/>
              <w:t>Year that Vested</w:t>
              <w:br/>
              <w:t>During Year for</w:t>
              <w:br/>
              <w:t>Non-PEO NEOs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82" w:type="dxa"/>
            <w:tcBorders/>
            <w:shd w:fill="000000" w:val="clear"/>
            <w:vAlign w:val="center"/>
          </w:tcPr>
          <w:p>
            <w:pPr>
              <w:pStyle w:val="TableContents"/>
              <w:bidi w:val="0"/>
              <w:spacing w:before="0" w:after="0"/>
              <w:jc w:val="center"/>
              <w:rPr/>
            </w:pPr>
            <w:r>
              <w:rPr/>
              <w:t>Average Change in</w:t>
              <w:br/>
              <w:t>Fair Value from Last</w:t>
              <w:br/>
              <w:t>Day of Prior Year to</w:t>
              <w:br/>
              <w:t>Vesting Date of</w:t>
              <w:br/>
              <w:t>Unvested Equity</w:t>
              <w:br/>
              <w:t>Awards that Vested</w:t>
              <w:br/>
              <w:t>During Year for</w:t>
              <w:br/>
              <w:t>Non-PEO NEOs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80" w:type="dxa"/>
            <w:tcBorders/>
            <w:shd w:fill="000000" w:val="clear"/>
            <w:vAlign w:val="center"/>
          </w:tcPr>
          <w:p>
            <w:pPr>
              <w:pStyle w:val="TableContents"/>
              <w:bidi w:val="0"/>
              <w:spacing w:before="0" w:after="0"/>
              <w:jc w:val="center"/>
              <w:rPr/>
            </w:pPr>
            <w:r>
              <w:rPr/>
              <w:t>Average Fair Value</w:t>
              <w:br/>
              <w:t>at Last Day of Prior</w:t>
              <w:br/>
              <w:t>Year of Equity</w:t>
              <w:br/>
              <w:t>Awards Forfeited</w:t>
              <w:br/>
              <w:t>During Year for</w:t>
              <w:br/>
              <w:t>Non-PEO NEOs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77" w:type="dxa"/>
            <w:tcBorders/>
            <w:shd w:fill="000000" w:val="clear"/>
            <w:vAlign w:val="center"/>
          </w:tcPr>
          <w:p>
            <w:pPr>
              <w:pStyle w:val="TableContents"/>
              <w:bidi w:val="0"/>
              <w:spacing w:before="0" w:after="0"/>
              <w:jc w:val="center"/>
              <w:rPr/>
            </w:pPr>
            <w:r>
              <w:rPr/>
              <w:t>Total – </w:t>
              <w:br/>
              <w:t>Average</w:t>
              <w:br/>
              <w:t>Inclusion</w:t>
              <w:br/>
              <w:t>of Equity</w:t>
              <w:br/>
              <w:t>Values for</w:t>
              <w:br/>
              <w:t>Non-PEO</w:t>
              <w:br/>
              <w:t>NEOs</w:t>
              <w:br/>
              <w:t xml:space="preserve">($) </w:t>
            </w:r>
          </w:p>
        </w:tc>
        <w:tc>
          <w:tcPr>
            <w:tcW w:w="158"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583" w:type="dxa"/>
            <w:tcBorders>
              <w:bottom w:val="single" w:sz="2" w:space="0" w:color="666666"/>
            </w:tcBorders>
            <w:tcMar>
              <w:bottom w:w="143" w:type="dxa"/>
            </w:tcMar>
            <w:vAlign w:val="center"/>
          </w:tcPr>
          <w:p>
            <w:pPr>
              <w:pStyle w:val="TableContents"/>
              <w:bidi w:val="0"/>
              <w:spacing w:before="0" w:after="283"/>
              <w:jc w:val="left"/>
              <w:rPr>
                <w:spacing w:val="-1"/>
              </w:rPr>
            </w:pPr>
            <w:r>
              <w:rPr>
                <w:spacing w:val="-1"/>
              </w:rPr>
              <w:t xml:space="preserve">2026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0" w:type="dxa"/>
            <w:tcBorders>
              <w:bottom w:val="single" w:sz="2" w:space="0" w:color="666666"/>
            </w:tcBorders>
            <w:tcMar>
              <w:bottom w:w="143" w:type="dxa"/>
            </w:tcMar>
            <w:vAlign w:val="center"/>
          </w:tcPr>
          <w:p>
            <w:pPr>
              <w:pStyle w:val="TableContents"/>
              <w:bidi w:val="0"/>
              <w:spacing w:before="0" w:after="0"/>
              <w:jc w:val="center"/>
              <w:rPr>
                <w:spacing w:val="-1"/>
              </w:rPr>
            </w:pPr>
            <w:r>
              <w:rPr>
                <w:spacing w:val="-1"/>
              </w:rPr>
              <w:t xml:space="preserve">23,278,684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91" w:type="dxa"/>
            <w:tcBorders>
              <w:bottom w:val="single" w:sz="2" w:space="0" w:color="666666"/>
            </w:tcBorders>
            <w:tcMar>
              <w:bottom w:w="143" w:type="dxa"/>
            </w:tcMar>
            <w:vAlign w:val="center"/>
          </w:tcPr>
          <w:p>
            <w:pPr>
              <w:pStyle w:val="TableContents"/>
              <w:bidi w:val="0"/>
              <w:spacing w:before="0" w:after="0"/>
              <w:jc w:val="center"/>
              <w:rPr>
                <w:spacing w:val="-1"/>
              </w:rPr>
            </w:pPr>
            <w:r>
              <w:rPr>
                <w:spacing w:val="-1"/>
              </w:rPr>
              <w:t xml:space="preserve">30,075,505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379" w:type="dxa"/>
            <w:tcBorders>
              <w:bottom w:val="single" w:sz="2" w:space="0" w:color="666666"/>
            </w:tcBorders>
            <w:tcMar>
              <w:bottom w:w="143"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2" w:type="dxa"/>
            <w:tcBorders>
              <w:bottom w:val="single" w:sz="2" w:space="0" w:color="666666"/>
            </w:tcBorders>
            <w:tcMar>
              <w:bottom w:w="143" w:type="dxa"/>
            </w:tcMar>
            <w:vAlign w:val="center"/>
          </w:tcPr>
          <w:p>
            <w:pPr>
              <w:pStyle w:val="TableContents"/>
              <w:bidi w:val="0"/>
              <w:spacing w:before="0" w:after="0"/>
              <w:jc w:val="center"/>
              <w:rPr>
                <w:spacing w:val="-1"/>
              </w:rPr>
            </w:pPr>
            <w:r>
              <w:rPr>
                <w:spacing w:val="-1"/>
              </w:rPr>
              <w:t xml:space="preserve">2,507,285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80" w:type="dxa"/>
            <w:tcBorders>
              <w:bottom w:val="single" w:sz="2" w:space="0" w:color="666666"/>
            </w:tcBorders>
            <w:tcMar>
              <w:bottom w:w="143"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77" w:type="dxa"/>
            <w:tcBorders>
              <w:bottom w:val="single" w:sz="2" w:space="0" w:color="666666"/>
            </w:tcBorders>
            <w:tcMar>
              <w:bottom w:w="143" w:type="dxa"/>
            </w:tcMar>
            <w:vAlign w:val="center"/>
          </w:tcPr>
          <w:p>
            <w:pPr>
              <w:pStyle w:val="TableContents"/>
              <w:bidi w:val="0"/>
              <w:spacing w:before="0" w:after="0"/>
              <w:jc w:val="center"/>
              <w:rPr/>
            </w:pPr>
            <w:r>
              <w:rPr>
                <w:spacing w:val="-1"/>
              </w:rPr>
              <w:t>55,861,474</w:t>
            </w:r>
            <w:r>
              <w:rPr/>
              <w:t xml:space="preserve"> </w:t>
            </w:r>
          </w:p>
        </w:tc>
        <w:tc>
          <w:tcPr>
            <w:tcW w:w="158"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before="0" w:after="0"/>
        <w:ind w:left="893" w:right="40" w:hanging="0"/>
        <w:jc w:val="left"/>
        <w:rPr>
          <w:caps w:val="false"/>
          <w:smallCaps w:val="false"/>
          <w:color w:val="FFFFFF"/>
          <w:shd w:fill="FFFFFF" w:val="clear"/>
        </w:rPr>
      </w:pPr>
      <w:r>
        <w:rPr>
          <w:caps w:val="false"/>
          <w:smallCaps w:val="false"/>
          <w:color w:val="FFFFFF"/>
          <w:shd w:fill="FFFFFF" w:val="clear"/>
        </w:rPr>
        <w:t>​</w:t>
      </w:r>
    </w:p>
    <w:p>
      <w:pPr>
        <w:pStyle w:val="TextBody"/>
        <w:bidi w:val="0"/>
        <w:spacing w:lineRule="atLeast" w:line="180" w:before="20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The Peer Group TSR set forth in this table utilizes a custom group of peer companies, which we also utilize in the stock performance graph required by Item 201(e) of Regulation S-K included in our Annual Report, weighted according to the respective companies’ stock market capitalization at the beginning of each period for which a return is indicated. The comparison assumes $100 was invested for the period starting June 30, 2021, through the end of the listed year in the Company and in the custom group of peer companies used in our performance graph, respectively. The Company’s fiscal year peer group consists of IPG Photonics Corp., Wolfspeed Inc., Lumentum Holdings, Inc., Corning, Inc., MKS Instruments, Inc., and Honeywell International, Inc. Historical stock performance is not necessarily indicative of future stock performance.</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127000" distB="0" distL="0" distR="0" simplePos="0" locked="0" layoutInCell="1" allowOverlap="1" relativeHeight="416">
                <wp:simplePos x="0" y="0"/>
                <wp:positionH relativeFrom="column">
                  <wp:align>left</wp:align>
                </wp:positionH>
                <wp:positionV relativeFrom="line">
                  <wp:align>top</wp:align>
                </wp:positionV>
                <wp:extent cx="203200" cy="350520"/>
                <wp:effectExtent l="0" t="0" r="0" b="0"/>
                <wp:wrapSquare wrapText="right"/>
                <wp:docPr id="424" name="Frame206"/>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before="0" w:after="283"/>
                              <w:jc w:val="left"/>
                              <w:rPr>
                                <w:b w:val="false"/>
                                <w:color w:val="000000"/>
                              </w:rPr>
                            </w:pPr>
                            <w:r>
                              <w:rPr>
                                <w:b w:val="false"/>
                                <w:color w:val="000000"/>
                                <w:spacing w:val="-1"/>
                              </w:rPr>
                              <w:t>4.</w:t>
                            </w:r>
                            <w:r>
                              <w:rPr>
                                <w:b w:val="false"/>
                                <w:color w:val="000000"/>
                              </w:rPr>
                              <w:t xml:space="preserve"> </w:t>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before="0" w:after="283"/>
                        <w:jc w:val="left"/>
                        <w:rPr>
                          <w:b w:val="false"/>
                          <w:color w:val="000000"/>
                        </w:rPr>
                      </w:pPr>
                      <w:r>
                        <w:rPr>
                          <w:b w:val="false"/>
                          <w:color w:val="000000"/>
                          <w:spacing w:val="-1"/>
                        </w:rPr>
                        <w:t>4.</w:t>
                      </w:r>
                      <w:r>
                        <w:rPr>
                          <w:b w:val="false"/>
                          <w:color w:val="000000"/>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FFFFFF"/>
          <w:shd w:fill="FFFFFF" w:val="clear"/>
        </w:rPr>
      </w:pPr>
      <w:r>
        <w:rPr>
          <w:caps w:val="false"/>
          <w:smallCaps w:val="false"/>
          <w:color w:val="FFFFFF"/>
          <w:shd w:fill="FFFFFF" w:val="clear"/>
        </w:rPr>
        <w:t>​</w:t>
      </w:r>
    </w:p>
    <w:p>
      <w:pPr>
        <w:pStyle w:val="TextBody"/>
        <w:bidi w:val="0"/>
        <w:spacing w:lineRule="atLeast" w:line="180" w:before="80" w:after="0"/>
        <w:ind w:left="1213" w:right="40" w:hanging="0"/>
        <w:jc w:val="left"/>
        <w:rPr>
          <w:rFonts w:ascii="Arial;Helvetica;sans-serif" w:hAnsi="Arial;Helvetica;sans-serif"/>
          <w:b w:val="false"/>
          <w:i w:val="false"/>
          <w:caps w:val="false"/>
          <w:smallCaps w:val="false"/>
          <w:color w:val="000000"/>
          <w:spacing w:val="-1"/>
          <w:sz w:val="14"/>
          <w:shd w:fill="FFFFFF" w:val="clear"/>
        </w:rPr>
      </w:pPr>
      <w:r>
        <w:rPr>
          <w:rFonts w:ascii="Arial;Helvetica;sans-serif" w:hAnsi="Arial;Helvetica;sans-serif"/>
          <w:b w:val="false"/>
          <w:i w:val="false"/>
          <w:caps w:val="false"/>
          <w:smallCaps w:val="false"/>
          <w:color w:val="000000"/>
          <w:spacing w:val="-1"/>
          <w:sz w:val="14"/>
          <w:shd w:fill="FFFFFF" w:val="clear"/>
        </w:rPr>
        <w:t xml:space="preserve">We determined Adjusted EBITDA to be the most important financial performance measure used to link Company performance to Compensation Actually Paid to our PEO and Non-PEO NEOs in 2026. See discussion under “Annual Cash Incentive Programs” and “Primary Bonus Program (GRIP)” in our CD&amp;A for an explanation of Adjusted EBITDA, and Appendix B for a reconciliation of this non-GAAP measure to its most directly comparable financial measure calculated and presented in accordance with GAAP. Adjusted EBITDA may not have been the most important financial performance measure for prior years, and we may determine a different financial performance measure to be the most important financial performance measure in future years. </w:t>
      </w:r>
      <w:r>
        <mc:AlternateContent>
          <mc:Choice Requires="wps">
            <w:drawing>
              <wp:anchor behindDoc="0" distT="50800" distB="0" distL="0" distR="0" simplePos="0" locked="0" layoutInCell="1" allowOverlap="1" relativeHeight="417">
                <wp:simplePos x="0" y="0"/>
                <wp:positionH relativeFrom="column">
                  <wp:align>left</wp:align>
                </wp:positionH>
                <wp:positionV relativeFrom="line">
                  <wp:align>top</wp:align>
                </wp:positionV>
                <wp:extent cx="203200" cy="350520"/>
                <wp:effectExtent l="0" t="0" r="0" b="0"/>
                <wp:wrapSquare wrapText="right"/>
                <wp:docPr id="425" name="Frame207"/>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80" w:before="0" w:after="283"/>
                              <w:jc w:val="left"/>
                              <w:rPr>
                                <w:b w:val="false"/>
                                <w:color w:val="000000"/>
                              </w:rPr>
                            </w:pPr>
                            <w:r>
                              <w:rPr>
                                <w:b w:val="false"/>
                                <w:color w:val="000000"/>
                                <w:spacing w:val="-1"/>
                              </w:rPr>
                              <w:t>5.</w:t>
                            </w:r>
                            <w:r>
                              <w:rPr>
                                <w:b w:val="false"/>
                                <w:color w:val="000000"/>
                              </w:rPr>
                              <w:t xml:space="preserve"> </w:t>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b w:val="false"/>
                          <w:color w:val="000000"/>
                        </w:rPr>
                      </w:pPr>
                      <w:r>
                        <w:rPr>
                          <w:b w:val="false"/>
                          <w:color w:val="000000"/>
                          <w:spacing w:val="-1"/>
                        </w:rPr>
                        <w:t>5.</w:t>
                      </w:r>
                      <w:r>
                        <w:rPr>
                          <w:b w:val="false"/>
                          <w:color w:val="000000"/>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FFFFFF"/>
          <w:shd w:fill="FFFFFF" w:val="clear"/>
        </w:rPr>
      </w:pPr>
      <w:r>
        <w:rPr>
          <w:caps w:val="false"/>
          <w:smallCaps w:val="false"/>
          <w:color w:val="FFFFFF"/>
          <w:shd w:fill="FFFFFF" w:val="clear"/>
        </w:rPr>
        <w:t>​</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77</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440" w:before="120" w:after="4740"/>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RELATIONSHIP BETWEEN PEO AND NON-PEO NEO COMPENSATION ACTUALLY PAID AND TOTAL SHAREHOLDER RETURN (“TSR”)</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following chart sets forth the relationship between Compensation Actually Paid to our PEOs, the average of Compensation Actually Paid to our Non-PEO NEOs, the Company’s cumulative TSR over the five most recently completed fiscal years and the Peer Group TSR over the same period.</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60" w:before="600" w:after="283"/>
        <w:jc w:val="left"/>
        <w:rPr>
          <w:rFonts w:ascii="Tahoma;Geneva;sans-serif" w:hAnsi="Tahoma;Geneva;sans-serif"/>
          <w:b/>
          <w:i w:val="false"/>
          <w:caps w:val="false"/>
          <w:smallCaps w:val="false"/>
          <w:color w:val="0068C7"/>
          <w:sz w:val="22"/>
          <w:shd w:fill="FFFFFF" w:val="clear"/>
        </w:rPr>
      </w:pPr>
      <w:r>
        <w:rPr>
          <w:rFonts w:ascii="Tahoma;Geneva;sans-serif" w:hAnsi="Tahoma;Geneva;sans-serif"/>
          <w:b/>
          <w:i w:val="false"/>
          <w:caps w:val="false"/>
          <w:smallCaps w:val="false"/>
          <w:color w:val="0068C7"/>
          <w:sz w:val="22"/>
          <w:shd w:fill="FFFFFF" w:val="clear"/>
        </w:rPr>
        <w:t>PEO AND AVERAGE NON-PEO NEO COMPENSATION ACTUALLY PAID* VERSUS TSR</w:t>
        <w:br/>
        <w:t>(6/30/2021 INDEXED TO $100)</w:t>
      </w:r>
      <w:r>
        <w:rPr>
          <w:rFonts w:ascii="Tahoma;Geneva;sans-serif" w:hAnsi="Tahoma;Geneva;sans-serif"/>
          <w:b/>
          <w:i w:val="false"/>
          <w:caps w:val="false"/>
          <w:smallCaps w:val="false"/>
          <w:color w:val="000000"/>
          <w:spacing w:val="4"/>
          <w:sz w:val="22"/>
          <w:shd w:fill="FFFFFF" w:val="clear"/>
        </w:rPr>
        <w:t xml:space="preserve"> </w:t>
      </w:r>
    </w:p>
    <w:p>
      <w:pPr>
        <w:pStyle w:val="TextBody"/>
        <w:bidi w:val="0"/>
        <w:spacing w:before="220" w:after="283"/>
        <w:jc w:val="center"/>
        <w:rPr>
          <w:caps w:val="false"/>
          <w:smallCaps w:val="false"/>
          <w:color w:val="000000"/>
          <w:shd w:fill="FFFFFF" w:val="clear"/>
        </w:rPr>
      </w:pPr>
      <w:r>
        <w:rPr>
          <w:caps w:val="false"/>
          <w:smallCaps w:val="false"/>
          <w:color w:val="000000"/>
          <w:shd w:fill="FFFFFF" w:val="clear"/>
        </w:rPr>
        <w:drawing>
          <wp:inline distT="0" distB="0" distL="0" distR="0">
            <wp:extent cx="6334125" cy="3086100"/>
            <wp:effectExtent l="0" t="0" r="0" b="0"/>
            <wp:docPr id="426"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198" descr=""/>
                    <pic:cNvPicPr>
                      <a:picLocks noChangeAspect="1" noChangeArrowheads="1"/>
                    </pic:cNvPicPr>
                  </pic:nvPicPr>
                  <pic:blipFill>
                    <a:blip r:embed="rId220"/>
                    <a:stretch>
                      <a:fillRect/>
                    </a:stretch>
                  </pic:blipFill>
                  <pic:spPr bwMode="auto">
                    <a:xfrm>
                      <a:off x="0" y="0"/>
                      <a:ext cx="6334125" cy="3086100"/>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180" w:before="215" w:after="0"/>
        <w:ind w:left="1013" w:right="40" w:hanging="0"/>
        <w:jc w:val="left"/>
        <w:rPr>
          <w:caps w:val="false"/>
          <w:smallCaps w:val="false"/>
          <w:color w:val="000000"/>
          <w:shd w:fill="FFFFFF" w:val="clear"/>
        </w:rPr>
      </w:pPr>
      <w:r>
        <w:rPr>
          <w:caps w:val="false"/>
          <w:smallCaps w:val="false"/>
          <w:color w:val="000000"/>
          <w:shd w:fill="FFFFFF" w:val="clear"/>
        </w:rPr>
        <w:t>“</w:t>
      </w:r>
      <w:r>
        <w:rPr>
          <w:rFonts w:ascii="Arial;Helvetica;sans-serif" w:hAnsi="Arial;Helvetica;sans-serif"/>
          <w:b w:val="false"/>
          <w:i/>
          <w:caps w:val="false"/>
          <w:smallCaps w:val="false"/>
          <w:color w:val="000000"/>
          <w:sz w:val="14"/>
          <w:shd w:fill="FFFFFF" w:val="clear"/>
        </w:rPr>
        <w:t>Compensation Actually Paid” is calculated pursuant to SEC requirements.</w:t>
      </w:r>
      <w:r>
        <w:rPr>
          <w:rFonts w:ascii="Arial;Helvetica;sans-serif" w:hAnsi="Arial;Helvetica;sans-serif"/>
          <w:b w:val="false"/>
          <w:i w:val="false"/>
          <w:caps w:val="false"/>
          <w:smallCaps w:val="false"/>
          <w:color w:val="000000"/>
          <w:spacing w:val="-1"/>
          <w:sz w:val="14"/>
          <w:shd w:fill="FFFFFF" w:val="clear"/>
        </w:rPr>
        <w:t xml:space="preserve"> </w:t>
      </w:r>
      <w:r>
        <mc:AlternateContent>
          <mc:Choice Requires="wps">
            <w:drawing>
              <wp:anchor behindDoc="0" distT="136525" distB="0" distL="0" distR="0" simplePos="0" locked="0" layoutInCell="1" allowOverlap="1" relativeHeight="418">
                <wp:simplePos x="0" y="0"/>
                <wp:positionH relativeFrom="column">
                  <wp:align>left</wp:align>
                </wp:positionH>
                <wp:positionV relativeFrom="line">
                  <wp:align>top</wp:align>
                </wp:positionV>
                <wp:extent cx="76200" cy="228600"/>
                <wp:effectExtent l="0" t="0" r="0" b="0"/>
                <wp:wrapSquare wrapText="right"/>
                <wp:docPr id="427" name="Frame208"/>
                <a:graphic xmlns:a="http://schemas.openxmlformats.org/drawingml/2006/main">
                  <a:graphicData uri="http://schemas.microsoft.com/office/word/2010/wordprocessingShape">
                    <wps:wsp>
                      <wps:cNvSpPr txBox="1"/>
                      <wps:spPr>
                        <a:xfrm>
                          <a:off x="0" y="0"/>
                          <a:ext cx="76200" cy="228600"/>
                        </a:xfrm>
                        <a:prstGeom prst="rect"/>
                        <a:solidFill>
                          <a:srgbClr val="FFFFFF"/>
                        </a:solidFill>
                      </wps:spPr>
                      <wps:txbx>
                        <w:txbxContent>
                          <w:p>
                            <w:pPr>
                              <w:pStyle w:val="TextBody"/>
                              <w:bidi w:val="0"/>
                              <w:spacing w:lineRule="atLeast" w:line="180" w:before="0" w:after="283"/>
                              <w:jc w:val="left"/>
                              <w:rPr>
                                <w:rFonts w:ascii="Arial;Helvetica;sans-serif" w:hAnsi="Arial;Helvetica;sans-serif"/>
                                <w:sz w:val="14"/>
                              </w:rPr>
                            </w:pPr>
                            <w:r>
                              <w:rPr>
                                <w:rFonts w:ascii="Arial;Helvetica;sans-serif" w:hAnsi="Arial;Helvetica;sans-serif"/>
                                <w:spacing w:val="-1"/>
                                <w:sz w:val="14"/>
                              </w:rPr>
                              <w:t>*</w:t>
                            </w:r>
                            <w:r>
                              <w:rPr>
                                <w:rFonts w:ascii="Arial;Helvetica;sans-serif" w:hAnsi="Arial;Helvetica;sans-serif"/>
                                <w:sz w:val="14"/>
                              </w:rPr>
                              <w:t xml:space="preserve"> </w:t>
                              <w:br/>
                            </w:r>
                          </w:p>
                        </w:txbxContent>
                      </wps:txbx>
                      <wps:bodyPr anchor="t" lIns="0" tIns="0" rIns="0" bIns="0">
                        <a:noAutofit/>
                      </wps:bodyPr>
                    </wps:wsp>
                  </a:graphicData>
                </a:graphic>
              </wp:anchor>
            </w:drawing>
          </mc:Choice>
          <mc:Fallback>
            <w:pict>
              <v:rect style="position:absolute;rotation:-0;width:6pt;height:18pt;mso-wrap-distance-left:0pt;mso-wrap-distance-right:0pt;mso-wrap-distance-top:10.75pt;mso-wrap-distance-bottom:0pt;margin-top:10.75pt;mso-position-vertical:top;mso-position-vertical-relative:text;margin-left:0pt;mso-position-horizontal:left;mso-position-horizontal-relative:text">
                <v:textbox>
                  <w:txbxContent>
                    <w:p>
                      <w:pPr>
                        <w:pStyle w:val="TextBody"/>
                        <w:bidi w:val="0"/>
                        <w:spacing w:lineRule="atLeast" w:line="180" w:before="0" w:after="283"/>
                        <w:jc w:val="left"/>
                        <w:rPr>
                          <w:rFonts w:ascii="Arial;Helvetica;sans-serif" w:hAnsi="Arial;Helvetica;sans-serif"/>
                          <w:sz w:val="14"/>
                        </w:rPr>
                      </w:pPr>
                      <w:r>
                        <w:rPr>
                          <w:rFonts w:ascii="Arial;Helvetica;sans-serif" w:hAnsi="Arial;Helvetica;sans-serif"/>
                          <w:spacing w:val="-1"/>
                          <w:sz w:val="14"/>
                        </w:rPr>
                        <w:t>*</w:t>
                      </w:r>
                      <w:r>
                        <w:rPr>
                          <w:rFonts w:ascii="Arial;Helvetica;sans-serif" w:hAnsi="Arial;Helvetica;sans-serif"/>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78</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440" w:before="120" w:after="5035"/>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RELATIONSHIP BETWEEN PEO AND NON-PEO NEO COMPENSATION ACTUALLY PAID AND NET INCOME</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following chart sets forth the relationship between Compensation Actually Paid to our PEOs, the average of Compensation Actually Paid to our Non-PEO NEOs, and our Net Income during the five most recently completed fiscal years.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60" w:before="600" w:after="283"/>
        <w:jc w:val="left"/>
        <w:rPr>
          <w:rFonts w:ascii="Tahoma;Geneva;sans-serif" w:hAnsi="Tahoma;Geneva;sans-serif"/>
          <w:b/>
          <w:i w:val="false"/>
          <w:caps w:val="false"/>
          <w:smallCaps w:val="false"/>
          <w:color w:val="0068C7"/>
          <w:sz w:val="22"/>
          <w:shd w:fill="FFFFFF" w:val="clear"/>
        </w:rPr>
      </w:pPr>
      <w:r>
        <w:rPr>
          <w:rFonts w:ascii="Tahoma;Geneva;sans-serif" w:hAnsi="Tahoma;Geneva;sans-serif"/>
          <w:b/>
          <w:i w:val="false"/>
          <w:caps w:val="false"/>
          <w:smallCaps w:val="false"/>
          <w:color w:val="0068C7"/>
          <w:sz w:val="22"/>
          <w:shd w:fill="FFFFFF" w:val="clear"/>
        </w:rPr>
        <w:t xml:space="preserve">PEO AND AVERAGE NON-PEO NEO COMPENSATION ACTUALLY PAID* </w:t>
        <w:br/>
        <w:t>VERSUS NET INCOME</w:t>
      </w:r>
      <w:r>
        <w:rPr>
          <w:rFonts w:ascii="Tahoma;Geneva;sans-serif" w:hAnsi="Tahoma;Geneva;sans-serif"/>
          <w:b/>
          <w:i w:val="false"/>
          <w:caps w:val="false"/>
          <w:smallCaps w:val="false"/>
          <w:color w:val="000000"/>
          <w:spacing w:val="4"/>
          <w:sz w:val="22"/>
          <w:shd w:fill="FFFFFF" w:val="clear"/>
        </w:rPr>
        <w:t xml:space="preserve"> </w:t>
      </w:r>
    </w:p>
    <w:p>
      <w:pPr>
        <w:pStyle w:val="TextBody"/>
        <w:bidi w:val="0"/>
        <w:spacing w:before="220" w:after="283"/>
        <w:jc w:val="center"/>
        <w:rPr>
          <w:caps w:val="false"/>
          <w:smallCaps w:val="false"/>
          <w:color w:val="000000"/>
          <w:shd w:fill="FFFFFF" w:val="clear"/>
        </w:rPr>
      </w:pPr>
      <w:r>
        <w:rPr>
          <w:caps w:val="false"/>
          <w:smallCaps w:val="false"/>
          <w:color w:val="000000"/>
          <w:shd w:fill="FFFFFF" w:val="clear"/>
        </w:rPr>
        <w:drawing>
          <wp:inline distT="0" distB="0" distL="0" distR="0">
            <wp:extent cx="6334125" cy="3057525"/>
            <wp:effectExtent l="0" t="0" r="0" b="0"/>
            <wp:docPr id="428"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199" descr=""/>
                    <pic:cNvPicPr>
                      <a:picLocks noChangeAspect="1" noChangeArrowheads="1"/>
                    </pic:cNvPicPr>
                  </pic:nvPicPr>
                  <pic:blipFill>
                    <a:blip r:embed="rId221"/>
                    <a:stretch>
                      <a:fillRect/>
                    </a:stretch>
                  </pic:blipFill>
                  <pic:spPr bwMode="auto">
                    <a:xfrm>
                      <a:off x="0" y="0"/>
                      <a:ext cx="6334125" cy="305752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180" w:before="215" w:after="283"/>
        <w:jc w:val="left"/>
        <w:rPr>
          <w:rFonts w:ascii="Arial;Helvetica;sans-serif" w:hAnsi="Arial;Helvetica;sans-serif"/>
          <w:b w:val="false"/>
          <w:i/>
          <w:caps w:val="false"/>
          <w:smallCaps w:val="false"/>
          <w:color w:val="000000"/>
          <w:sz w:val="14"/>
          <w:shd w:fill="FFFFFF" w:val="clear"/>
        </w:rPr>
      </w:pPr>
      <w:r>
        <w:rPr>
          <w:rFonts w:ascii="Arial;Helvetica;sans-serif" w:hAnsi="Arial;Helvetica;sans-serif"/>
          <w:b w:val="false"/>
          <w:i/>
          <w:caps w:val="false"/>
          <w:smallCaps w:val="false"/>
          <w:color w:val="000000"/>
          <w:sz w:val="14"/>
          <w:shd w:fill="FFFFFF" w:val="clear"/>
        </w:rPr>
        <w:t xml:space="preserve">* “Compensation Actually Paid” is calculated pursuant to SEC requirements.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79</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440" w:before="120" w:after="940"/>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RELATIONSHIP BETWEEN PEO AND NON-PEO NEO COMPENSATION ACTUALLY PAID AND ADJUSTED EBITDA</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following chart sets forth the relationship between Compensation Actually Paid to our PEOs, the average of Compensation Actually Paid to our Non-PEO NEOs, and Adjusted EBITDA during the five most recently completed fiscal years.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60" w:before="600" w:after="283"/>
        <w:jc w:val="left"/>
        <w:rPr>
          <w:rFonts w:ascii="Tahoma;Geneva;sans-serif" w:hAnsi="Tahoma;Geneva;sans-serif"/>
          <w:b/>
          <w:i w:val="false"/>
          <w:caps w:val="false"/>
          <w:smallCaps w:val="false"/>
          <w:color w:val="0068C7"/>
          <w:sz w:val="22"/>
          <w:shd w:fill="FFFFFF" w:val="clear"/>
        </w:rPr>
      </w:pPr>
      <w:r>
        <w:rPr>
          <w:rFonts w:ascii="Tahoma;Geneva;sans-serif" w:hAnsi="Tahoma;Geneva;sans-serif"/>
          <w:b/>
          <w:i w:val="false"/>
          <w:caps w:val="false"/>
          <w:smallCaps w:val="false"/>
          <w:color w:val="0068C7"/>
          <w:sz w:val="22"/>
          <w:shd w:fill="FFFFFF" w:val="clear"/>
        </w:rPr>
        <w:t xml:space="preserve">PEO AND AVERAGE NON-PEO NEO COMPENSATION ACTUALLY PAID* </w:t>
        <w:br/>
        <w:t>VERSUS ADJUSTED EBITDA ($M)</w:t>
      </w:r>
      <w:r>
        <w:rPr>
          <w:rFonts w:ascii="Tahoma;Geneva;sans-serif" w:hAnsi="Tahoma;Geneva;sans-serif"/>
          <w:b/>
          <w:i w:val="false"/>
          <w:caps w:val="false"/>
          <w:smallCaps w:val="false"/>
          <w:color w:val="000000"/>
          <w:spacing w:val="4"/>
          <w:sz w:val="22"/>
          <w:shd w:fill="FFFFFF" w:val="clear"/>
        </w:rPr>
        <w:t xml:space="preserve"> </w:t>
      </w:r>
    </w:p>
    <w:p>
      <w:pPr>
        <w:pStyle w:val="TextBody"/>
        <w:bidi w:val="0"/>
        <w:spacing w:before="220" w:after="283"/>
        <w:jc w:val="center"/>
        <w:rPr>
          <w:caps w:val="false"/>
          <w:smallCaps w:val="false"/>
          <w:color w:val="000000"/>
          <w:shd w:fill="FFFFFF" w:val="clear"/>
        </w:rPr>
      </w:pPr>
      <w:r>
        <w:rPr>
          <w:caps w:val="false"/>
          <w:smallCaps w:val="false"/>
          <w:color w:val="000000"/>
          <w:shd w:fill="FFFFFF" w:val="clear"/>
        </w:rPr>
        <w:drawing>
          <wp:inline distT="0" distB="0" distL="0" distR="0">
            <wp:extent cx="6334125" cy="3124200"/>
            <wp:effectExtent l="0" t="0" r="0" b="0"/>
            <wp:docPr id="429"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200" descr=""/>
                    <pic:cNvPicPr>
                      <a:picLocks noChangeAspect="1" noChangeArrowheads="1"/>
                    </pic:cNvPicPr>
                  </pic:nvPicPr>
                  <pic:blipFill>
                    <a:blip r:embed="rId222"/>
                    <a:stretch>
                      <a:fillRect/>
                    </a:stretch>
                  </pic:blipFill>
                  <pic:spPr bwMode="auto">
                    <a:xfrm>
                      <a:off x="0" y="0"/>
                      <a:ext cx="6334125" cy="3124200"/>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180" w:before="215" w:after="283"/>
        <w:jc w:val="left"/>
        <w:rPr>
          <w:rFonts w:ascii="Arial;Helvetica;sans-serif" w:hAnsi="Arial;Helvetica;sans-serif"/>
          <w:b w:val="false"/>
          <w:i/>
          <w:caps w:val="false"/>
          <w:smallCaps w:val="false"/>
          <w:color w:val="000000"/>
          <w:sz w:val="14"/>
          <w:shd w:fill="FFFFFF" w:val="clear"/>
        </w:rPr>
      </w:pPr>
      <w:r>
        <w:rPr>
          <w:rFonts w:ascii="Arial;Helvetica;sans-serif" w:hAnsi="Arial;Helvetica;sans-serif"/>
          <w:b w:val="false"/>
          <w:i/>
          <w:caps w:val="false"/>
          <w:smallCaps w:val="false"/>
          <w:color w:val="000000"/>
          <w:sz w:val="14"/>
          <w:shd w:fill="FFFFFF" w:val="clear"/>
        </w:rPr>
        <w:t>* “Compensation Actually Paid” is calculated pursuant to SEC requirements.</w:t>
      </w:r>
      <w:r>
        <w:rPr>
          <w:rFonts w:ascii="Arial;Helvetica;sans-serif" w:hAnsi="Arial;Helvetica;sans-serif"/>
          <w:b w:val="false"/>
          <w:i/>
          <w:caps w:val="false"/>
          <w:smallCaps w:val="false"/>
          <w:color w:val="000000"/>
          <w:spacing w:val="3"/>
          <w:sz w:val="14"/>
          <w:shd w:fill="FFFFFF" w:val="clear"/>
        </w:rPr>
        <w:t xml:space="preserve"> </w:t>
      </w:r>
    </w:p>
    <w:p>
      <w:pPr>
        <w:pStyle w:val="TextBody"/>
        <w:bidi w:val="0"/>
        <w:spacing w:lineRule="atLeast" w:line="360" w:before="480" w:after="283"/>
        <w:jc w:val="left"/>
        <w:rPr>
          <w:rFonts w:ascii="Tahoma;Geneva;sans-serif" w:hAnsi="Tahoma;Geneva;sans-serif"/>
          <w:b/>
          <w:i w:val="false"/>
          <w:caps w:val="false"/>
          <w:smallCaps w:val="false"/>
          <w:color w:val="4C4C4C"/>
          <w:sz w:val="32"/>
          <w:shd w:fill="FFFFFF" w:val="clear"/>
        </w:rPr>
      </w:pPr>
      <w:r>
        <w:rPr>
          <w:rFonts w:ascii="Tahoma;Geneva;sans-serif" w:hAnsi="Tahoma;Geneva;sans-serif"/>
          <w:b/>
          <w:i w:val="false"/>
          <w:caps w:val="false"/>
          <w:smallCaps w:val="false"/>
          <w:color w:val="4C4C4C"/>
          <w:sz w:val="32"/>
          <w:shd w:fill="FFFFFF" w:val="clear"/>
        </w:rPr>
        <w:t>TABULAR LIST OF MOST IMPORTANT FINANCIAL PERFORMANCE MEASURES</w:t>
      </w:r>
      <w:r>
        <w:rPr>
          <w:rFonts w:ascii="Tahoma;Geneva;sans-serif" w:hAnsi="Tahoma;Geneva;sans-serif"/>
          <w:b/>
          <w:i w:val="false"/>
          <w:caps w:val="false"/>
          <w:smallCaps w:val="false"/>
          <w:color w:val="000000"/>
          <w:spacing w:val="6"/>
          <w:sz w:val="32"/>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following table presents the financial performance measures that the Company considers to have been the most important in linking Compensation Actually Paid to our PEOs and other NEOs for 2026 to Company performance. The measures in this table are not ranked and are described in our CD&amp;A.</w:t>
      </w:r>
      <w:r>
        <w:rPr>
          <w:rFonts w:ascii="Arial;Helvetica;sans-serif" w:hAnsi="Arial;Helvetica;sans-serif"/>
          <w:b w:val="false"/>
          <w:i w:val="false"/>
          <w:caps w:val="false"/>
          <w:smallCaps w:val="false"/>
          <w:color w:val="000000"/>
          <w:spacing w:val="4"/>
          <w:sz w:val="19"/>
          <w:shd w:fill="FFFFFF" w:val="clear"/>
        </w:rPr>
        <w:t xml:space="preserve"> </w:t>
      </w:r>
    </w:p>
    <w:tbl>
      <w:tblPr>
        <w:tblW w:w="2688" w:type="dxa"/>
        <w:jc w:val="left"/>
        <w:tblInd w:w="893" w:type="dxa"/>
        <w:tblLayout w:type="fixed"/>
        <w:tblCellMar>
          <w:top w:w="0" w:type="dxa"/>
          <w:left w:w="0" w:type="dxa"/>
          <w:bottom w:w="0" w:type="dxa"/>
          <w:right w:w="0" w:type="dxa"/>
        </w:tblCellMar>
      </w:tblPr>
      <w:tblGrid>
        <w:gridCol w:w="124"/>
        <w:gridCol w:w="109"/>
        <w:gridCol w:w="2192"/>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92" w:type="dxa"/>
            <w:tcBorders>
              <w:bottom w:val="single" w:sz="2" w:space="0" w:color="000000"/>
            </w:tcBorders>
            <w:tcMar>
              <w:bottom w:w="28" w:type="dxa"/>
            </w:tcMar>
            <w:vAlign w:val="center"/>
          </w:tcPr>
          <w:p>
            <w:pPr>
              <w:pStyle w:val="TableContents"/>
              <w:bidi w:val="0"/>
              <w:spacing w:before="53" w:after="283"/>
              <w:jc w:val="center"/>
              <w:rPr>
                <w:spacing w:val="-1"/>
              </w:rPr>
            </w:pPr>
            <w:r>
              <w:rPr>
                <w:spacing w:val="-1"/>
              </w:rPr>
              <w:t xml:space="preserve">Adjusted EBITDA </w:t>
              <w:br/>
              <w:t xml:space="preserve">Operating Cash Flow </w:t>
              <w:br/>
              <w:t xml:space="preserve">Relative TSR </w:t>
              <w:br/>
              <w:t xml:space="preserve">Revenue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80</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6" w:name="tEHSAV"/>
      <w:bookmarkEnd w:id="26"/>
      <w:r>
        <w:rPr>
          <w:rFonts w:ascii="calibri;arial;sans-serif" w:hAnsi="calibri;arial;sans-serif"/>
          <w:b w:val="false"/>
          <w:i w:val="false"/>
          <w:caps w:val="false"/>
          <w:smallCaps w:val="false"/>
          <w:sz w:val="18"/>
          <w:shd w:fill="E5E4E2" w:val="clear"/>
        </w:rPr>
        <w:t xml:space="preserve">​ </w:t>
      </w:r>
    </w:p>
    <w:p>
      <w:pPr>
        <w:pStyle w:val="TextBody"/>
        <w:bidi w:val="0"/>
        <w:spacing w:before="0" w:after="394"/>
        <w:ind w:left="0" w:right="40" w:hanging="0"/>
        <w:jc w:val="center"/>
        <w:rPr>
          <w:caps w:val="false"/>
          <w:smallCaps w:val="false"/>
          <w:color w:val="000000"/>
          <w:shd w:fill="FFFFFF" w:val="clear"/>
        </w:rPr>
      </w:pPr>
      <w:r>
        <w:rPr>
          <w:caps w:val="false"/>
          <w:smallCaps w:val="false"/>
          <w:color w:val="000000"/>
          <w:shd w:fill="FFFFFF" w:val="clear"/>
        </w:rPr>
        <w:drawing>
          <wp:inline distT="0" distB="0" distL="0" distR="0">
            <wp:extent cx="7543800" cy="9829800"/>
            <wp:effectExtent l="0" t="0" r="0" b="0"/>
            <wp:docPr id="430"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201" descr=""/>
                    <pic:cNvPicPr>
                      <a:picLocks noChangeAspect="1" noChangeArrowheads="1"/>
                    </pic:cNvPicPr>
                  </pic:nvPicPr>
                  <pic:blipFill>
                    <a:blip r:embed="rId223"/>
                    <a:stretch>
                      <a:fillRect/>
                    </a:stretch>
                  </pic:blipFill>
                  <pic:spPr bwMode="auto">
                    <a:xfrm>
                      <a:off x="0" y="0"/>
                      <a:ext cx="7543800" cy="9829800"/>
                    </a:xfrm>
                    <a:prstGeom prst="rect">
                      <a:avLst/>
                    </a:prstGeom>
                  </pic:spPr>
                </pic:pic>
              </a:graphicData>
            </a:graphic>
          </wp:inline>
        </w:drawing>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40" w:before="120" w:after="283"/>
        <w:ind w:left="89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Ernst &amp; Young LLC (“E&amp;Y”) has served as the Company’s independent registered public accountant since fiscal year 2008. For fiscal year 2026, E&amp;Y rendered professional services in connection with the audit of our financial statements, including review of quarterly reports and other filings with the SEC. E&amp;Y is knowledgeable about our operations and accounting practices, and well qualified to act as our independent registered public accounting firm for fiscal year 2027, and the Audit and Risk Committee has selected it as such.</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Although shareholder ratification of the appointment of our independent registered public accounting firm is not required by our by laws or otherwise, we are submitting the ratification of the Audit and Risk Committee’s selection of E&amp;Y to our shareholders for ratification as what we believe to be a matter of good corporate governance practice. If the selection of E&amp;Y is not ratified, the Audit and Risk Committee will reconsider the appointment of the Company’s independent registered public accounting firm. Even if the selection of E&amp;Y is ratified by our shareholders, the Audit and Risk Committee in its discretion could decide to terminate the engagement of E&amp;Y and engage another firm if the Audit and Risk Committee determines such action to be necessary or desirable.</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Company incurred the following fees and expenses for services performed by its Independent Registered Public Accounting Firm during fiscal years 2026 and 2025:</w:t>
      </w:r>
      <w:r>
        <w:rPr>
          <w:rFonts w:ascii="Arial;Helvetica;sans-serif" w:hAnsi="Arial;Helvetica;sans-serif"/>
          <w:b w:val="false"/>
          <w:i w:val="false"/>
          <w:caps w:val="false"/>
          <w:smallCaps w:val="false"/>
          <w:color w:val="000000"/>
          <w:spacing w:val="4"/>
          <w:sz w:val="19"/>
          <w:shd w:fill="FFFFFF" w:val="clear"/>
        </w:rPr>
        <w:t xml:space="preserve"> </w:t>
      </w:r>
    </w:p>
    <w:tbl>
      <w:tblPr>
        <w:tblW w:w="4991" w:type="dxa"/>
        <w:jc w:val="left"/>
        <w:tblInd w:w="893" w:type="dxa"/>
        <w:tblLayout w:type="fixed"/>
        <w:tblCellMar>
          <w:top w:w="0" w:type="dxa"/>
          <w:left w:w="0" w:type="dxa"/>
          <w:bottom w:w="0" w:type="dxa"/>
          <w:right w:w="0" w:type="dxa"/>
        </w:tblCellMar>
      </w:tblPr>
      <w:tblGrid>
        <w:gridCol w:w="124"/>
        <w:gridCol w:w="2041"/>
        <w:gridCol w:w="109"/>
        <w:gridCol w:w="109"/>
        <w:gridCol w:w="1118"/>
        <w:gridCol w:w="109"/>
        <w:gridCol w:w="109"/>
        <w:gridCol w:w="1118"/>
        <w:gridCol w:w="154"/>
      </w:tblGrid>
      <w:tr>
        <w:trPr/>
        <w:tc>
          <w:tcPr>
            <w:tcW w:w="124" w:type="dxa"/>
            <w:tcBorders/>
            <w:shd w:fill="000000" w:val="clear"/>
            <w:vAlign w:val="center"/>
          </w:tcPr>
          <w:p>
            <w:pPr>
              <w:pStyle w:val="TableContents"/>
              <w:bidi w:val="0"/>
              <w:spacing w:before="0" w:after="283"/>
              <w:jc w:val="left"/>
              <w:rPr/>
            </w:pPr>
            <w:r>
              <w:rPr/>
              <w:t>​</w:t>
            </w:r>
          </w:p>
        </w:tc>
        <w:tc>
          <w:tcPr>
            <w:tcW w:w="2041"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18" w:type="dxa"/>
            <w:tcBorders/>
            <w:shd w:fill="000000" w:val="clear"/>
            <w:vAlign w:val="center"/>
          </w:tcPr>
          <w:p>
            <w:pPr>
              <w:pStyle w:val="TableContents"/>
              <w:bidi w:val="0"/>
              <w:spacing w:before="0" w:after="0"/>
              <w:jc w:val="center"/>
              <w:rPr/>
            </w:pPr>
            <w:r>
              <w:rPr/>
              <w:t xml:space="preserve">2026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18" w:type="dxa"/>
            <w:tcBorders/>
            <w:shd w:fill="000000" w:val="clear"/>
            <w:vAlign w:val="center"/>
          </w:tcPr>
          <w:p>
            <w:pPr>
              <w:pStyle w:val="TableContents"/>
              <w:bidi w:val="0"/>
              <w:spacing w:before="0" w:after="0"/>
              <w:jc w:val="center"/>
              <w:rPr/>
            </w:pPr>
            <w:r>
              <w:rPr/>
              <w:t xml:space="preserve">2025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041" w:type="dxa"/>
            <w:tcBorders>
              <w:bottom w:val="single" w:sz="2" w:space="0" w:color="666666"/>
            </w:tcBorders>
            <w:tcMar>
              <w:bottom w:w="88" w:type="dxa"/>
            </w:tcMar>
            <w:vAlign w:val="center"/>
          </w:tcPr>
          <w:p>
            <w:pPr>
              <w:pStyle w:val="TableContents"/>
              <w:bidi w:val="0"/>
              <w:spacing w:before="0" w:after="283"/>
              <w:jc w:val="left"/>
              <w:rPr/>
            </w:pPr>
            <w:r>
              <w:rPr>
                <w:spacing w:val="-1"/>
              </w:rPr>
              <w:t>Audit Fees</w:t>
            </w:r>
            <w:r>
              <w:rPr>
                <w:spacing w:val="-1"/>
                <w:sz w:val="12"/>
              </w:rPr>
              <w:t>1</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18"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7,185,000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18"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7,190,441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041" w:type="dxa"/>
            <w:tcBorders>
              <w:bottom w:val="single" w:sz="2" w:space="0" w:color="666666"/>
            </w:tcBorders>
            <w:tcMar>
              <w:bottom w:w="88" w:type="dxa"/>
            </w:tcMar>
            <w:vAlign w:val="center"/>
          </w:tcPr>
          <w:p>
            <w:pPr>
              <w:pStyle w:val="TableContents"/>
              <w:bidi w:val="0"/>
              <w:spacing w:before="0" w:after="283"/>
              <w:jc w:val="left"/>
              <w:rPr/>
            </w:pPr>
            <w:r>
              <w:rPr>
                <w:spacing w:val="-1"/>
              </w:rPr>
              <w:t>Audit-Related Fees</w:t>
            </w:r>
            <w:r>
              <w:rPr>
                <w:spacing w:val="-1"/>
                <w:sz w:val="12"/>
              </w:rPr>
              <w:t>2</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18"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4,900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18"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4,748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041" w:type="dxa"/>
            <w:tcBorders>
              <w:bottom w:val="single" w:sz="2" w:space="0" w:color="666666"/>
            </w:tcBorders>
            <w:tcMar>
              <w:bottom w:w="88" w:type="dxa"/>
            </w:tcMar>
            <w:vAlign w:val="center"/>
          </w:tcPr>
          <w:p>
            <w:pPr>
              <w:pStyle w:val="TableContents"/>
              <w:bidi w:val="0"/>
              <w:spacing w:before="0" w:after="283"/>
              <w:jc w:val="left"/>
              <w:rPr/>
            </w:pPr>
            <w:r>
              <w:rPr>
                <w:spacing w:val="-1"/>
              </w:rPr>
              <w:t>Tax Fees</w:t>
            </w:r>
            <w:r>
              <w:rPr>
                <w:spacing w:val="-1"/>
                <w:sz w:val="12"/>
              </w:rPr>
              <w:t>3</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18"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334,281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18"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413,732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041" w:type="dxa"/>
            <w:tcBorders>
              <w:bottom w:val="single" w:sz="2" w:space="0" w:color="666666"/>
            </w:tcBorders>
            <w:tcMar>
              <w:bottom w:w="88" w:type="dxa"/>
            </w:tcMar>
            <w:vAlign w:val="center"/>
          </w:tcPr>
          <w:p>
            <w:pPr>
              <w:pStyle w:val="TableContents"/>
              <w:bidi w:val="0"/>
              <w:spacing w:before="0" w:after="283"/>
              <w:jc w:val="left"/>
              <w:rPr/>
            </w:pPr>
            <w:r>
              <w:rPr>
                <w:spacing w:val="-1"/>
              </w:rPr>
              <w:t>All Other Fees</w:t>
            </w:r>
            <w:r>
              <w:rPr>
                <w:spacing w:val="-1"/>
                <w:sz w:val="12"/>
              </w:rPr>
              <w:t>4</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18"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18"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041"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Total Fees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18"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7,524,181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118" w:type="dxa"/>
            <w:tcBorders>
              <w:bottom w:val="single" w:sz="2" w:space="0" w:color="666666"/>
            </w:tcBorders>
            <w:tcMar>
              <w:bottom w:w="88" w:type="dxa"/>
            </w:tcMar>
            <w:vAlign w:val="center"/>
          </w:tcPr>
          <w:p>
            <w:pPr>
              <w:pStyle w:val="TableContents"/>
              <w:bidi w:val="0"/>
              <w:spacing w:before="0" w:after="0"/>
              <w:jc w:val="center"/>
              <w:rPr/>
            </w:pPr>
            <w:r>
              <w:rPr>
                <w:spacing w:val="-1"/>
              </w:rPr>
              <w:t>7,608,921</w:t>
            </w:r>
            <w:r>
              <w:rPr/>
              <w:t xml:space="preserve"> </w:t>
            </w:r>
          </w:p>
        </w:tc>
        <w:tc>
          <w:tcPr>
            <w:tcW w:w="154"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126"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i w:val="false"/>
          <w:caps w:val="false"/>
          <w:smallCaps w:val="false"/>
          <w:color w:val="000000"/>
          <w:spacing w:val="0"/>
          <w:sz w:val="14"/>
          <w:shd w:fill="FFFFFF" w:val="clear"/>
        </w:rPr>
        <w:t>Audit Fees</w:t>
      </w:r>
      <w:r>
        <w:rPr>
          <w:rFonts w:ascii="Arial;Helvetica;sans-serif" w:hAnsi="Arial;Helvetica;sans-serif"/>
          <w:b w:val="false"/>
          <w:i w:val="false"/>
          <w:caps w:val="false"/>
          <w:smallCaps w:val="false"/>
          <w:color w:val="000000"/>
          <w:spacing w:val="-1"/>
          <w:sz w:val="14"/>
          <w:shd w:fill="FFFFFF" w:val="clear"/>
        </w:rPr>
        <w:t xml:space="preserve"> include the fees billed for professional services rendered by EY for the audit of our annual financial statements and for the review of financial statements included in our Forms 10-Q, as well as for services that are normally provided by E&amp;Y in connection with statutory and regulatory filings or engagements. This category also includes fees billed for the audit of the effectiveness or the Company’s internal controls over financial reporting in accordance with Section 404 of the Sarbanes-Oxley Act of 2002.</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80010" distB="0" distL="0" distR="0" simplePos="0" locked="0" layoutInCell="1" allowOverlap="1" relativeHeight="419">
                <wp:simplePos x="0" y="0"/>
                <wp:positionH relativeFrom="column">
                  <wp:align>left</wp:align>
                </wp:positionH>
                <wp:positionV relativeFrom="line">
                  <wp:align>top</wp:align>
                </wp:positionV>
                <wp:extent cx="203200" cy="204470"/>
                <wp:effectExtent l="0" t="0" r="0" b="0"/>
                <wp:wrapSquare wrapText="right"/>
                <wp:docPr id="431" name="Frame209"/>
                <a:graphic xmlns:a="http://schemas.openxmlformats.org/drawingml/2006/main">
                  <a:graphicData uri="http://schemas.microsoft.com/office/word/2010/wordprocessingShape">
                    <wps:wsp>
                      <wps:cNvSpPr txBox="1"/>
                      <wps:spPr>
                        <a:xfrm>
                          <a:off x="0" y="0"/>
                          <a:ext cx="203200" cy="204470"/>
                        </a:xfrm>
                        <a:prstGeom prst="rect"/>
                        <a:solidFill>
                          <a:srgbClr val="FFFFFF"/>
                        </a:solidFill>
                      </wps:spPr>
                      <wps:txbx>
                        <w:txbxContent>
                          <w:p>
                            <w:pPr>
                              <w:pStyle w:val="TextBody"/>
                              <w:bidi w:val="0"/>
                              <w:spacing w:before="0" w:after="283"/>
                              <w:jc w:val="left"/>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16pt;height:16.1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before="0" w:after="283"/>
                        <w:jc w:val="left"/>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52"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i w:val="false"/>
          <w:caps w:val="false"/>
          <w:smallCaps w:val="false"/>
          <w:color w:val="000000"/>
          <w:spacing w:val="0"/>
          <w:sz w:val="14"/>
          <w:shd w:fill="FFFFFF" w:val="clear"/>
        </w:rPr>
        <w:t>Audit-Related Fees</w:t>
      </w:r>
      <w:r>
        <w:rPr>
          <w:rFonts w:ascii="Arial;Helvetica;sans-serif" w:hAnsi="Arial;Helvetica;sans-serif"/>
          <w:b w:val="false"/>
          <w:i w:val="false"/>
          <w:caps w:val="false"/>
          <w:smallCaps w:val="false"/>
          <w:color w:val="000000"/>
          <w:spacing w:val="-1"/>
          <w:sz w:val="14"/>
          <w:shd w:fill="FFFFFF" w:val="clear"/>
        </w:rPr>
        <w:t xml:space="preserve"> include fees billed for assurance and related services by E&amp;Y that are reasonably related to the performance of the audit or review of the Company’s financial statements and are not reported as Audit Fees. This category includes fees primarily related to work related to a government grant application for one of our foreign subsidiaries and in connection with generating agreed-upon procedures for another of our foreign subsidiaries.</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33020" distB="0" distL="0" distR="0" simplePos="0" locked="0" layoutInCell="1" allowOverlap="1" relativeHeight="420">
                <wp:simplePos x="0" y="0"/>
                <wp:positionH relativeFrom="column">
                  <wp:align>left</wp:align>
                </wp:positionH>
                <wp:positionV relativeFrom="line">
                  <wp:align>top</wp:align>
                </wp:positionV>
                <wp:extent cx="203200" cy="228600"/>
                <wp:effectExtent l="0" t="0" r="0" b="0"/>
                <wp:wrapSquare wrapText="right"/>
                <wp:docPr id="432" name="Frame210"/>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2.</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2.</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52"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i w:val="false"/>
          <w:caps w:val="false"/>
          <w:smallCaps w:val="false"/>
          <w:color w:val="000000"/>
          <w:spacing w:val="0"/>
          <w:sz w:val="14"/>
          <w:shd w:fill="FFFFFF" w:val="clear"/>
        </w:rPr>
        <w:t>Tax Fees</w:t>
      </w:r>
      <w:r>
        <w:rPr>
          <w:rFonts w:ascii="Arial;Helvetica;sans-serif" w:hAnsi="Arial;Helvetica;sans-serif"/>
          <w:b w:val="false"/>
          <w:i w:val="false"/>
          <w:caps w:val="false"/>
          <w:smallCaps w:val="false"/>
          <w:color w:val="000000"/>
          <w:spacing w:val="-1"/>
          <w:sz w:val="14"/>
          <w:shd w:fill="FFFFFF" w:val="clear"/>
        </w:rPr>
        <w:t xml:space="preserve"> include the fees billed for professional services rendered by E&amp;Y for tax compliance, tax advice, and tax planning. This category includes fees primarily related to the preparation and review of federal, state and international tax returns and assistance with tax audits.</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33020" distB="0" distL="0" distR="0" simplePos="0" locked="0" layoutInCell="1" allowOverlap="1" relativeHeight="421">
                <wp:simplePos x="0" y="0"/>
                <wp:positionH relativeFrom="column">
                  <wp:align>left</wp:align>
                </wp:positionH>
                <wp:positionV relativeFrom="line">
                  <wp:align>top</wp:align>
                </wp:positionV>
                <wp:extent cx="203200" cy="228600"/>
                <wp:effectExtent l="0" t="0" r="0" b="0"/>
                <wp:wrapSquare wrapText="right"/>
                <wp:docPr id="433" name="Frame211"/>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3.</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3.</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52"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i w:val="false"/>
          <w:caps w:val="false"/>
          <w:smallCaps w:val="false"/>
          <w:color w:val="000000"/>
          <w:spacing w:val="0"/>
          <w:sz w:val="14"/>
          <w:shd w:fill="FFFFFF" w:val="clear"/>
        </w:rPr>
        <w:t>All Other Fees</w:t>
      </w:r>
      <w:r>
        <w:rPr>
          <w:rFonts w:ascii="Arial;Helvetica;sans-serif" w:hAnsi="Arial;Helvetica;sans-serif"/>
          <w:b w:val="false"/>
          <w:i w:val="false"/>
          <w:caps w:val="false"/>
          <w:smallCaps w:val="false"/>
          <w:color w:val="000000"/>
          <w:spacing w:val="-1"/>
          <w:sz w:val="14"/>
          <w:shd w:fill="FFFFFF" w:val="clear"/>
        </w:rPr>
        <w:t xml:space="preserve"> includes fees for products and services provided by E&amp;Y, other than those already reported elsewhere in this table.</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33020" distB="0" distL="0" distR="0" simplePos="0" locked="0" layoutInCell="1" allowOverlap="1" relativeHeight="422">
                <wp:simplePos x="0" y="0"/>
                <wp:positionH relativeFrom="column">
                  <wp:align>left</wp:align>
                </wp:positionH>
                <wp:positionV relativeFrom="line">
                  <wp:align>top</wp:align>
                </wp:positionV>
                <wp:extent cx="203200" cy="228600"/>
                <wp:effectExtent l="0" t="0" r="0" b="0"/>
                <wp:wrapSquare wrapText="right"/>
                <wp:docPr id="434" name="Frame212"/>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4.</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4.</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84" w:after="0"/>
        <w:ind w:left="113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Audit and Risk Committee Charter provides that the Audit and Risk Committee must pre-approve all audit services and permitted non-audit services to be performed for the Company by its independent auditors in accordance with applicable law. The Audit and Risk Committee may delegate to one or more designated members of the committee the authority to grant pre-approvals, provided such approvals are presented to the committee at a subsequent meeting. Our Audit and Risk Committee pre-approves the retention of E&amp;Y, and its fees for all audit and non-audit services and determines whether the provision of non-audit services is compatible with maintaining its independence. All services provided by E&amp;Y in fiscal 2026 and 2025 were pre-approved by the Audit and Risk Committee after review of each of the services proposed for approval.</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53340" distB="0" distL="0" distR="0" simplePos="0" locked="0" layoutInCell="1" allowOverlap="1" relativeHeight="423">
                <wp:simplePos x="0" y="0"/>
                <wp:positionH relativeFrom="column">
                  <wp:align>left</wp:align>
                </wp:positionH>
                <wp:positionV relativeFrom="line">
                  <wp:align>top</wp:align>
                </wp:positionV>
                <wp:extent cx="152400" cy="350520"/>
                <wp:effectExtent l="0" t="0" r="0" b="0"/>
                <wp:wrapSquare wrapText="right"/>
                <wp:docPr id="435" name="Frame21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br/>
                            </w:r>
                          </w:p>
                        </w:txbxContent>
                      </wps:txbx>
                      <wps:bodyPr anchor="t" lIns="0" tIns="0" rIns="0" bIns="0">
                        <a:noAutofit/>
                      </wps:bodyPr>
                    </wps:wsp>
                  </a:graphicData>
                </a:graphic>
              </wp:anchor>
            </w:drawing>
          </mc:Choice>
          <mc:Fallback>
            <w:pict>
              <v:rect style="position:absolute;rotation:-0;width:12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55" w:before="0" w:after="283"/>
                        <w:jc w:val="left"/>
                        <w:rPr/>
                      </w:pPr>
                      <w:r>
                        <w:rPr>
                          <w:spacing w:val="-1"/>
                        </w:rPr>
                        <w:t>-</w:t>
                      </w:r>
                      <w:r>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A representative of E&amp;Y is expected to be present at the Annual Meeting, will have the opportunity to make a statement and is expected to be available to respond to any appropriate questions.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affirmative vote of at least a majority of the votes that all shareholders present at the Annual Meeting, in person or by proxy, are entitled to cast is required to ratify the appointment of E&amp;Y as the Company’s independent registered public accounting firm for the fiscal year ending June 30, 2027. Abstentions have the effect of an “AGAINST” vote.</w:t>
      </w:r>
      <w:r>
        <w:rPr>
          <w:rFonts w:ascii="Arial;Helvetica;sans-serif" w:hAnsi="Arial;Helvetica;sans-serif"/>
          <w:b w:val="false"/>
          <w:i w:val="false"/>
          <w:caps w:val="false"/>
          <w:smallCaps w:val="false"/>
          <w:color w:val="000000"/>
          <w:spacing w:val="4"/>
          <w:sz w:val="19"/>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109"/>
        <w:gridCol w:w="877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0068C7"/>
            </w:tcBorders>
            <w:tcMar>
              <w:bottom w:w="28" w:type="dxa"/>
            </w:tcMar>
            <w:vAlign w:val="center"/>
          </w:tcPr>
          <w:p>
            <w:pPr>
              <w:pStyle w:val="TableContents"/>
              <w:bidi w:val="0"/>
              <w:spacing w:before="0" w:after="283"/>
              <w:jc w:val="left"/>
              <w:rPr/>
            </w:pPr>
            <w:r>
              <w:rPr/>
              <w:t>​</w:t>
            </w:r>
          </w:p>
        </w:tc>
        <w:tc>
          <w:tcPr>
            <w:tcW w:w="8776" w:type="dxa"/>
            <w:tcBorders>
              <w:bottom w:val="single" w:sz="8" w:space="0" w:color="0068C7"/>
            </w:tcBorders>
            <w:tcMar>
              <w:bottom w:w="215" w:type="dxa"/>
            </w:tcMar>
            <w:vAlign w:val="center"/>
          </w:tcPr>
          <w:p>
            <w:pPr>
              <w:pStyle w:val="TableContents"/>
              <w:bidi w:val="0"/>
              <w:spacing w:before="0" w:after="0"/>
              <w:jc w:val="center"/>
              <w:rPr/>
            </w:pPr>
            <w:r>
              <w:rPr>
                <w:spacing w:val="-2"/>
              </w:rPr>
              <w:t xml:space="preserve">THE BOARD OF DIRECTORS UNANIMOUSLY RECOMMENDS A VOTE </w:t>
            </w:r>
            <w:r>
              <w:rPr>
                <w:spacing w:val="-2"/>
                <w:u w:val="single"/>
              </w:rPr>
              <w:t>FOR</w:t>
            </w:r>
            <w:r>
              <w:rPr>
                <w:spacing w:val="-2"/>
              </w:rPr>
              <w:t xml:space="preserve"> THE RATIFICATION OF THE AUDIT </w:t>
              <w:br/>
              <w:t xml:space="preserve">AND RISK COMMITTEE’S SELECTION OF ERNST &amp; YOUNG LLP AS THE COMPANY’S INDEPENDENT </w:t>
              <w:br/>
              <w:t>REGISTERED PUBLIC ACCOUNTING FIRM FOR FISCAL YEAR 2027.</w:t>
            </w:r>
            <w:r>
              <w:rPr/>
              <w:t xml:space="preserve"> </w:t>
            </w:r>
          </w:p>
        </w:tc>
        <w:tc>
          <w:tcPr>
            <w:tcW w:w="109" w:type="dxa"/>
            <w:tcBorders>
              <w:bottom w:val="single" w:sz="8" w:space="0" w:color="0068C7"/>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82</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7" w:name="tROTA"/>
      <w:bookmarkEnd w:id="2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640" w:before="120" w:after="283"/>
        <w:ind w:left="893" w:right="40" w:hanging="0"/>
        <w:jc w:val="left"/>
        <w:rPr>
          <w:rFonts w:ascii="Tahoma;Geneva;sans-serif" w:hAnsi="Tahoma;Geneva;sans-serif"/>
          <w:b/>
          <w:i w:val="false"/>
          <w:caps w:val="false"/>
          <w:smallCaps w:val="false"/>
          <w:color w:val="0068C7"/>
          <w:sz w:val="60"/>
          <w:shd w:fill="FFFFFF" w:val="clear"/>
        </w:rPr>
      </w:pPr>
      <w:r>
        <w:rPr>
          <w:rFonts w:ascii="Tahoma;Geneva;sans-serif" w:hAnsi="Tahoma;Geneva;sans-serif"/>
          <w:b/>
          <w:i w:val="false"/>
          <w:caps w:val="false"/>
          <w:smallCaps w:val="false"/>
          <w:color w:val="0068C7"/>
          <w:sz w:val="60"/>
          <w:shd w:fill="FFFFFF" w:val="clear"/>
        </w:rPr>
        <w:t>REPORT OF THE AUDIT AND RISK COMMITTEE</w:t>
      </w:r>
      <w:r>
        <w:rPr>
          <w:rFonts w:ascii="Tahoma;Geneva;sans-serif" w:hAnsi="Tahoma;Geneva;sans-serif"/>
          <w:b/>
          <w:i w:val="false"/>
          <w:caps w:val="false"/>
          <w:smallCaps w:val="false"/>
          <w:color w:val="000000"/>
          <w:spacing w:val="12"/>
          <w:sz w:val="60"/>
          <w:shd w:fill="FFFFFF" w:val="clear"/>
        </w:rPr>
        <w:t xml:space="preserve"> </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following is the report of the Audit and Risk Committee with respect to the Company’s audited financial statements for the fiscal year ended June 30, 2026, included in the Company’s Annual Report on Form 10-K. The information contained in this report shall not be deemed to be “soliciting material” or to be “filed” with the SEC. Likewise, it shall not be incorporated by reference into any future filing under the Securities Act of 1933, as amended, or the Securities Exchange Act of 1934, as amended, except to the extent that the Company specifically incorporates it by reference in such filing.</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MEMBERSHIP AND ROLE OF AUDIT AND RISK COMMITTEE</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Audit and Risk Committee is composed of directors who have been determined by the Board to be “independent” and “financially literate” pursuant to the NYSE listing requirements. The Audit and Risk Committee operates under a written charter adopted by the Board.</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REVIEW WITH MANAGEMENT</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Audit and Risk Committee reviews each of the Company’s quarterly and annual reports, including Management’s Discussion and Analysis of Financial Condition and Results of Operations. As part of this review, the Audit and Risk Committee discusses the reports with the Company’s management. It also considers the audit reports prepared by the Independent Accountants about the Company’s annual report, and related matters like the quality of the Company’s accounting principles; alternative methods of accounting under Generally Accepted Accounting Principles, and the Independent Accountant’s preferences in this regard; the Company’s critical accounting policies; and the clarity and completeness of the Company’s financial and other disclosures.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Audit and Risk Committee reviewed management’s report on internal control over financial reporting, required under Section 404 of the Sarbanes-Oxley Act of 2002 and related rules. As part of this review, the Audit and Risk Committee reviewed the bases for management’s conclusions in that report, and the report of the Independent Accountants on internal control over financial reporting. Throughout the fiscal year ended June 30, 2026, the Audit and Risk Committee reviewed management’s plan for documenting and testing controls, the results of their documentation and testing, any deficiencies, and the remediation of the deficiencies.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REVIEW AND DISCUSSIONS WITH INDEPENDENT ACCOUNTANTS</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Audit and Risk Committee also reviewed our consolidated financial statements for 2026 with Ernst &amp; Young LLP (EY), our independent registered public accounting firm for fiscal year 2026, which is responsible for expressing an opinion on the conformity of those audited financial statements with accounting principles generally accepted in the United States. Further, the Audit and Risk Committee reviewed with EY its judgment as to the quality, not just the acceptability, of the accounting principles. In addition, the Audit and Risk Committee met with EY, with and without management present, to discuss the results of its examinations, its evaluations of our internal controls, and the overall quality of our financial reporting.</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6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Audit and Risk Committee has received the written disclosures and the letter from EY required by the applicable requirements of the Public Company Accounting Oversight Board regarding the independent registered public accounting firm’s communications with the Audit and Risk Committee concerning independence, as modified or supplemented, and has discussed with EY its independence. The Audit and Risk Committee considered the compatibility of non-audit services EY provided to us with EY’s independence. Finally, the Audit and Risk Committee discussed with EY the matters required to be discussed by the applicable requirements of the Public Company Accounting Oversight Board and SEC.</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83</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440" w:before="120" w:after="9800"/>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CONCLUSION</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Based on the review and discussions referred to above, the Audit and Risk Committee recommended to the Board that the Company’s audited financial statements be included in the Company’s Annual Report on Form 10-K for the fiscal year ended June 30, 2026.</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i w:val="false"/>
          <w:caps w:val="false"/>
          <w:smallCaps w:val="false"/>
          <w:color w:val="000000"/>
          <w:spacing w:val="0"/>
          <w:sz w:val="19"/>
          <w:shd w:fill="FFFFFF" w:val="clear"/>
        </w:rPr>
        <w:t>Audit and Risk Committee</w:t>
      </w:r>
      <w:r>
        <w:rPr>
          <w:rFonts w:ascii="Arial;Helvetica;sans-serif" w:hAnsi="Arial;Helvetica;sans-serif"/>
          <w:b w:val="false"/>
          <w:i w:val="false"/>
          <w:caps w:val="false"/>
          <w:smallCaps w:val="false"/>
          <w:color w:val="000000"/>
          <w:sz w:val="19"/>
          <w:shd w:fill="FFFFFF" w:val="clear"/>
        </w:rPr>
        <w:t xml:space="preserve"> </w:t>
        <w:br/>
      </w:r>
      <w:r>
        <w:rPr>
          <w:rFonts w:ascii="Arial;Helvetica;sans-serif" w:hAnsi="Arial;Helvetica;sans-serif"/>
          <w:b w:val="false"/>
          <w:i w:val="false"/>
          <w:caps w:val="false"/>
          <w:smallCaps w:val="false"/>
          <w:color w:val="000000"/>
          <w:spacing w:val="-1"/>
          <w:sz w:val="19"/>
          <w:shd w:fill="FFFFFF" w:val="clear"/>
        </w:rPr>
        <w:t xml:space="preserve">Stephen A. Skaggs, Chair </w:t>
        <w:br/>
        <w:t xml:space="preserve">Enrico DiGirolamo </w:t>
        <w:br/>
        <w:t xml:space="preserve">Joseph J. Corasanti </w:t>
        <w:br/>
        <w:t xml:space="preserve">Shaker Sadasivam </w:t>
        <w:br/>
        <w:t xml:space="preserve">David L. Motley </w:t>
        <w:br/>
        <w:t xml:space="preserve">Michael L. Dreyer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84</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640" w:before="120" w:after="6160"/>
        <w:ind w:left="893" w:right="40" w:hanging="0"/>
        <w:jc w:val="left"/>
        <w:rPr>
          <w:rFonts w:ascii="Tahoma;Geneva;sans-serif" w:hAnsi="Tahoma;Geneva;sans-serif"/>
          <w:b/>
          <w:i w:val="false"/>
          <w:caps w:val="false"/>
          <w:smallCaps w:val="false"/>
          <w:color w:val="0068C7"/>
          <w:sz w:val="60"/>
          <w:shd w:fill="FFFFFF" w:val="clear"/>
        </w:rPr>
      </w:pPr>
      <w:r>
        <w:rPr>
          <w:rFonts w:ascii="Tahoma;Geneva;sans-serif" w:hAnsi="Tahoma;Geneva;sans-serif"/>
          <w:b/>
          <w:i w:val="false"/>
          <w:caps w:val="false"/>
          <w:smallCaps w:val="false"/>
          <w:color w:val="0068C7"/>
          <w:sz w:val="60"/>
          <w:shd w:fill="FFFFFF" w:val="clear"/>
        </w:rPr>
        <w:t>EQUITY COMPENSATION PLAN INFORMATION</w:t>
      </w:r>
      <w:r>
        <w:rPr>
          <w:rFonts w:ascii="Tahoma;Geneva;sans-serif" w:hAnsi="Tahoma;Geneva;sans-serif"/>
          <w:b/>
          <w:i w:val="false"/>
          <w:caps w:val="false"/>
          <w:smallCaps w:val="false"/>
          <w:color w:val="000000"/>
          <w:spacing w:val="12"/>
          <w:sz w:val="6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following table provides information about our shares subject to our equity compensation plans that were in effect as of June 30, 2026.</w:t>
      </w:r>
      <w:r>
        <w:rPr>
          <w:rFonts w:ascii="Arial;Helvetica;sans-serif" w:hAnsi="Arial;Helvetica;sans-serif"/>
          <w:b w:val="false"/>
          <w:i w:val="false"/>
          <w:caps w:val="false"/>
          <w:smallCaps w:val="false"/>
          <w:color w:val="000000"/>
          <w:spacing w:val="4"/>
          <w:sz w:val="19"/>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2798"/>
        <w:gridCol w:w="109"/>
        <w:gridCol w:w="109"/>
        <w:gridCol w:w="1635"/>
        <w:gridCol w:w="109"/>
        <w:gridCol w:w="109"/>
        <w:gridCol w:w="1976"/>
        <w:gridCol w:w="109"/>
        <w:gridCol w:w="109"/>
        <w:gridCol w:w="1929"/>
        <w:gridCol w:w="156"/>
      </w:tblGrid>
      <w:tr>
        <w:trPr/>
        <w:tc>
          <w:tcPr>
            <w:tcW w:w="124" w:type="dxa"/>
            <w:tcBorders/>
            <w:shd w:fill="000000" w:val="clear"/>
            <w:vAlign w:val="center"/>
          </w:tcPr>
          <w:p>
            <w:pPr>
              <w:pStyle w:val="TableContents"/>
              <w:bidi w:val="0"/>
              <w:spacing w:before="0" w:after="283"/>
              <w:jc w:val="left"/>
              <w:rPr/>
            </w:pPr>
            <w:r>
              <w:rPr/>
              <w:t>​</w:t>
            </w:r>
          </w:p>
        </w:tc>
        <w:tc>
          <w:tcPr>
            <w:tcW w:w="2798" w:type="dxa"/>
            <w:tcBorders/>
            <w:shd w:fill="000000" w:val="clear"/>
            <w:vAlign w:val="center"/>
          </w:tcPr>
          <w:p>
            <w:pPr>
              <w:pStyle w:val="TableContents"/>
              <w:bidi w:val="0"/>
              <w:spacing w:before="0" w:after="0"/>
              <w:jc w:val="left"/>
              <w:rPr/>
            </w:pPr>
            <w:r>
              <w:rPr/>
              <w:t xml:space="preserve">As of June 30, 2026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5" w:type="dxa"/>
            <w:tcBorders/>
            <w:shd w:fill="000000" w:val="clear"/>
            <w:vAlign w:val="center"/>
          </w:tcPr>
          <w:p>
            <w:pPr>
              <w:pStyle w:val="TableContents"/>
              <w:bidi w:val="0"/>
              <w:spacing w:before="0" w:after="0"/>
              <w:jc w:val="center"/>
              <w:rPr/>
            </w:pPr>
            <w:r>
              <w:rPr/>
              <w:t>Number of Securities to</w:t>
              <w:br/>
              <w:t>be Issued Upon Exercise</w:t>
              <w:br/>
              <w:t>of Outstanding Options,</w:t>
              <w:br/>
              <w:t xml:space="preserve">Warrants and Rights (a)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976" w:type="dxa"/>
            <w:tcBorders/>
            <w:shd w:fill="000000" w:val="clear"/>
            <w:vAlign w:val="center"/>
          </w:tcPr>
          <w:p>
            <w:pPr>
              <w:pStyle w:val="TableContents"/>
              <w:bidi w:val="0"/>
              <w:spacing w:before="0" w:after="0"/>
              <w:jc w:val="center"/>
              <w:rPr/>
            </w:pPr>
            <w:r>
              <w:rPr/>
              <w:t>Weighted-Average</w:t>
              <w:br/>
              <w:t>Exercise Price of</w:t>
              <w:br/>
              <w:t>Outstanding Options,</w:t>
              <w:br/>
              <w:t>Warrants and Rights</w:t>
              <w:br/>
              <w:t xml:space="preserve">(b)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929" w:type="dxa"/>
            <w:tcBorders/>
            <w:shd w:fill="000000" w:val="clear"/>
            <w:vAlign w:val="center"/>
          </w:tcPr>
          <w:p>
            <w:pPr>
              <w:pStyle w:val="TableContents"/>
              <w:bidi w:val="0"/>
              <w:spacing w:before="0" w:after="0"/>
              <w:jc w:val="center"/>
              <w:rPr/>
            </w:pPr>
            <w:r>
              <w:rPr/>
              <w:t>Number of Securities</w:t>
              <w:br/>
              <w:t>Remaining Available for</w:t>
              <w:br/>
              <w:t>Future Issuance Under Equity</w:t>
              <w:br/>
              <w:t>Compensation Plans</w:t>
              <w:br/>
              <w:t>(Excluding Securities</w:t>
              <w:br/>
              <w:t xml:space="preserve">Reflected in Column (a)) (c) </w:t>
            </w:r>
          </w:p>
        </w:tc>
        <w:tc>
          <w:tcPr>
            <w:tcW w:w="156"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798" w:type="dxa"/>
            <w:tcBorders>
              <w:bottom w:val="single" w:sz="2" w:space="0" w:color="666666"/>
            </w:tcBorders>
            <w:tcMar>
              <w:bottom w:w="64" w:type="dxa"/>
            </w:tcMar>
            <w:vAlign w:val="center"/>
          </w:tcPr>
          <w:p>
            <w:pPr>
              <w:pStyle w:val="TableContents"/>
              <w:bidi w:val="0"/>
              <w:spacing w:before="0" w:after="283"/>
              <w:jc w:val="left"/>
              <w:rPr/>
            </w:pPr>
            <w:r>
              <w:rPr>
                <w:spacing w:val="-1"/>
              </w:rPr>
              <w:t>Equity compensation plans approved by security holders</w:t>
            </w:r>
            <w:r>
              <w:rPr>
                <w:spacing w:val="-1"/>
                <w:szCs w:val="12"/>
              </w:rPr>
              <w:t>﻿</w:t>
            </w:r>
            <w:r>
              <w:rPr>
                <w:spacing w:val="-1"/>
                <w:sz w:val="12"/>
              </w:rPr>
              <w:t>1</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635" w:type="dxa"/>
            <w:tcBorders>
              <w:bottom w:val="single" w:sz="2" w:space="0" w:color="666666"/>
            </w:tcBorders>
            <w:tcMar>
              <w:bottom w:w="64" w:type="dxa"/>
            </w:tcMar>
            <w:vAlign w:val="center"/>
          </w:tcPr>
          <w:p>
            <w:pPr>
              <w:pStyle w:val="TableContents"/>
              <w:bidi w:val="0"/>
              <w:spacing w:before="0" w:after="0"/>
              <w:jc w:val="center"/>
              <w:rPr>
                <w:spacing w:val="-1"/>
              </w:rPr>
            </w:pPr>
            <w:r>
              <w:rPr>
                <w:spacing w:val="-1"/>
              </w:rPr>
              <w:t xml:space="preserve">4,077,482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976" w:type="dxa"/>
            <w:tcBorders>
              <w:bottom w:val="single" w:sz="2" w:space="0" w:color="666666"/>
            </w:tcBorders>
            <w:tcMar>
              <w:bottom w:w="64" w:type="dxa"/>
            </w:tcMar>
            <w:vAlign w:val="center"/>
          </w:tcPr>
          <w:p>
            <w:pPr>
              <w:pStyle w:val="TableContents"/>
              <w:bidi w:val="0"/>
              <w:spacing w:before="0" w:after="0"/>
              <w:jc w:val="center"/>
              <w:rPr/>
            </w:pPr>
            <w:r>
              <w:rPr>
                <w:spacing w:val="-1"/>
              </w:rPr>
              <w:t>$39.10</w:t>
            </w:r>
            <w:r>
              <w:rPr>
                <w:spacing w:val="-1"/>
                <w:sz w:val="12"/>
              </w:rPr>
              <w:t>2</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929" w:type="dxa"/>
            <w:tcBorders>
              <w:bottom w:val="single" w:sz="2" w:space="0" w:color="666666"/>
            </w:tcBorders>
            <w:tcMar>
              <w:bottom w:w="64" w:type="dxa"/>
            </w:tcMar>
            <w:vAlign w:val="center"/>
          </w:tcPr>
          <w:p>
            <w:pPr>
              <w:pStyle w:val="TableContents"/>
              <w:bidi w:val="0"/>
              <w:spacing w:before="0" w:after="0"/>
              <w:jc w:val="center"/>
              <w:rPr/>
            </w:pPr>
            <w:r>
              <w:rPr>
                <w:spacing w:val="-1"/>
              </w:rPr>
              <w:t>10,479,390</w:t>
            </w:r>
            <w:r>
              <w:rPr>
                <w:spacing w:val="-1"/>
                <w:sz w:val="12"/>
              </w:rPr>
              <w:t>4</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798" w:type="dxa"/>
            <w:tcBorders>
              <w:bottom w:val="single" w:sz="2" w:space="0" w:color="666666"/>
            </w:tcBorders>
            <w:tcMar>
              <w:bottom w:w="64" w:type="dxa"/>
            </w:tcMar>
            <w:vAlign w:val="center"/>
          </w:tcPr>
          <w:p>
            <w:pPr>
              <w:pStyle w:val="TableContents"/>
              <w:bidi w:val="0"/>
              <w:spacing w:before="0" w:after="283"/>
              <w:jc w:val="left"/>
              <w:rPr/>
            </w:pPr>
            <w:r>
              <w:rPr>
                <w:spacing w:val="-1"/>
              </w:rPr>
              <w:t>Equity compensation plans not approved by security holders</w:t>
            </w:r>
            <w:r>
              <w:rPr>
                <w:spacing w:val="-1"/>
                <w:szCs w:val="12"/>
              </w:rPr>
              <w:t>﻿</w:t>
            </w:r>
            <w:r>
              <w:rPr>
                <w:spacing w:val="-1"/>
                <w:sz w:val="12"/>
              </w:rPr>
              <w:t>3</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635" w:type="dxa"/>
            <w:tcBorders>
              <w:bottom w:val="single" w:sz="2" w:space="0" w:color="666666"/>
            </w:tcBorders>
            <w:tcMar>
              <w:bottom w:w="64" w:type="dxa"/>
            </w:tcMar>
            <w:vAlign w:val="center"/>
          </w:tcPr>
          <w:p>
            <w:pPr>
              <w:pStyle w:val="TableContents"/>
              <w:bidi w:val="0"/>
              <w:spacing w:before="0" w:after="0"/>
              <w:jc w:val="center"/>
              <w:rPr>
                <w:spacing w:val="-1"/>
              </w:rPr>
            </w:pPr>
            <w:r>
              <w:rPr>
                <w:spacing w:val="-1"/>
              </w:rPr>
              <w:t xml:space="preserve">1,121,859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976" w:type="dxa"/>
            <w:tcBorders>
              <w:bottom w:val="single" w:sz="2" w:space="0" w:color="666666"/>
            </w:tcBorders>
            <w:tcMar>
              <w:bottom w:w="64"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929" w:type="dxa"/>
            <w:tcBorders>
              <w:bottom w:val="single" w:sz="2" w:space="0" w:color="666666"/>
            </w:tcBorders>
            <w:tcMar>
              <w:bottom w:w="64" w:type="dxa"/>
            </w:tcMar>
            <w:vAlign w:val="center"/>
          </w:tcPr>
          <w:p>
            <w:pPr>
              <w:pStyle w:val="TableContents"/>
              <w:bidi w:val="0"/>
              <w:spacing w:before="0" w:after="0"/>
              <w:jc w:val="center"/>
              <w:rPr/>
            </w:pPr>
            <w:r>
              <w:rPr>
                <w:spacing w:val="-1"/>
              </w:rPr>
              <w:t>—</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666666"/>
            </w:tcBorders>
            <w:tcMar>
              <w:bottom w:w="28" w:type="dxa"/>
            </w:tcMar>
            <w:vAlign w:val="center"/>
          </w:tcPr>
          <w:p>
            <w:pPr>
              <w:pStyle w:val="TableContents"/>
              <w:bidi w:val="0"/>
              <w:spacing w:before="0" w:after="283"/>
              <w:jc w:val="left"/>
              <w:rPr/>
            </w:pPr>
            <w:r>
              <w:rPr/>
              <w:t>​</w:t>
            </w:r>
          </w:p>
        </w:tc>
        <w:tc>
          <w:tcPr>
            <w:tcW w:w="2798" w:type="dxa"/>
            <w:tcBorders>
              <w:bottom w:val="single" w:sz="2" w:space="0" w:color="666666"/>
            </w:tcBorders>
            <w:tcMar>
              <w:bottom w:w="64" w:type="dxa"/>
            </w:tcMar>
            <w:vAlign w:val="center"/>
          </w:tcPr>
          <w:p>
            <w:pPr>
              <w:pStyle w:val="TableContents"/>
              <w:bidi w:val="0"/>
              <w:spacing w:before="0" w:after="283"/>
              <w:jc w:val="left"/>
              <w:rPr/>
            </w:pPr>
            <w:r>
              <w:rPr>
                <w:spacing w:val="0"/>
              </w:rPr>
              <w:t>Total</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635" w:type="dxa"/>
            <w:tcBorders>
              <w:bottom w:val="single" w:sz="2" w:space="0" w:color="666666"/>
            </w:tcBorders>
            <w:tcMar>
              <w:bottom w:w="64" w:type="dxa"/>
            </w:tcMar>
            <w:vAlign w:val="center"/>
          </w:tcPr>
          <w:p>
            <w:pPr>
              <w:pStyle w:val="TableContents"/>
              <w:bidi w:val="0"/>
              <w:spacing w:before="0" w:after="0"/>
              <w:jc w:val="center"/>
              <w:rPr/>
            </w:pPr>
            <w:r>
              <w:rPr>
                <w:spacing w:val="-2"/>
              </w:rPr>
              <w:t>5,199,341</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976" w:type="dxa"/>
            <w:tcBorders>
              <w:bottom w:val="single" w:sz="2" w:space="0" w:color="666666"/>
            </w:tcBorders>
            <w:tcMar>
              <w:bottom w:w="64" w:type="dxa"/>
            </w:tcMar>
            <w:vAlign w:val="center"/>
          </w:tcPr>
          <w:p>
            <w:pPr>
              <w:pStyle w:val="TableContents"/>
              <w:bidi w:val="0"/>
              <w:spacing w:before="0" w:after="0"/>
              <w:jc w:val="center"/>
              <w:rPr/>
            </w:pPr>
            <w:r>
              <w:rPr>
                <w:spacing w:val="-2"/>
              </w:rPr>
              <w:t>$39.10</w:t>
            </w:r>
            <w:r>
              <w:rPr/>
              <w:t xml:space="preserve"> </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09" w:type="dxa"/>
            <w:tcBorders>
              <w:bottom w:val="single" w:sz="2" w:space="0" w:color="666666"/>
            </w:tcBorders>
            <w:tcMar>
              <w:bottom w:w="28" w:type="dxa"/>
            </w:tcMar>
            <w:vAlign w:val="center"/>
          </w:tcPr>
          <w:p>
            <w:pPr>
              <w:pStyle w:val="TableContents"/>
              <w:bidi w:val="0"/>
              <w:spacing w:before="0" w:after="283"/>
              <w:jc w:val="left"/>
              <w:rPr/>
            </w:pPr>
            <w:r>
              <w:rPr/>
              <w:t>​</w:t>
            </w:r>
          </w:p>
        </w:tc>
        <w:tc>
          <w:tcPr>
            <w:tcW w:w="1929" w:type="dxa"/>
            <w:tcBorders>
              <w:bottom w:val="single" w:sz="2" w:space="0" w:color="666666"/>
            </w:tcBorders>
            <w:tcMar>
              <w:bottom w:w="64" w:type="dxa"/>
            </w:tcMar>
            <w:vAlign w:val="center"/>
          </w:tcPr>
          <w:p>
            <w:pPr>
              <w:pStyle w:val="TableContents"/>
              <w:bidi w:val="0"/>
              <w:spacing w:before="0" w:after="0"/>
              <w:jc w:val="center"/>
              <w:rPr/>
            </w:pPr>
            <w:r>
              <w:rPr>
                <w:spacing w:val="-2"/>
              </w:rPr>
              <w:t>10,479,390</w:t>
            </w:r>
            <w:r>
              <w:rPr/>
              <w:t xml:space="preserve"> </w:t>
            </w:r>
          </w:p>
        </w:tc>
        <w:tc>
          <w:tcPr>
            <w:tcW w:w="156" w:type="dxa"/>
            <w:tcBorders>
              <w:bottom w:val="single" w:sz="2" w:space="0" w:color="666666"/>
            </w:tcBorders>
            <w:tcMar>
              <w:bottom w:w="28" w:type="dxa"/>
            </w:tcMar>
            <w:vAlign w:val="center"/>
          </w:tcPr>
          <w:p>
            <w:pPr>
              <w:pStyle w:val="TableContents"/>
              <w:bidi w:val="0"/>
              <w:spacing w:before="0" w:after="283"/>
              <w:jc w:val="left"/>
              <w:rPr/>
            </w:pPr>
            <w:r>
              <w:rPr/>
              <w:t>​</w:t>
            </w:r>
          </w:p>
        </w:tc>
      </w:tr>
    </w:tbl>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20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Represents outstanding awards pursuant to the Omnibus Incentive Plan and includes vested and unvested options, as well as 1,515,677 outstanding share-settled PSUs at target level of performance and 2,185,269 share-settled RSUs.</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127000" distB="0" distL="0" distR="0" simplePos="0" locked="0" layoutInCell="1" allowOverlap="1" relativeHeight="424">
                <wp:simplePos x="0" y="0"/>
                <wp:positionH relativeFrom="column">
                  <wp:align>left</wp:align>
                </wp:positionH>
                <wp:positionV relativeFrom="line">
                  <wp:align>top</wp:align>
                </wp:positionV>
                <wp:extent cx="203200" cy="204470"/>
                <wp:effectExtent l="0" t="0" r="0" b="0"/>
                <wp:wrapSquare wrapText="right"/>
                <wp:docPr id="436" name="Frame214"/>
                <a:graphic xmlns:a="http://schemas.openxmlformats.org/drawingml/2006/main">
                  <a:graphicData uri="http://schemas.microsoft.com/office/word/2010/wordprocessingShape">
                    <wps:wsp>
                      <wps:cNvSpPr txBox="1"/>
                      <wps:spPr>
                        <a:xfrm>
                          <a:off x="0" y="0"/>
                          <a:ext cx="203200" cy="204470"/>
                        </a:xfrm>
                        <a:prstGeom prst="rect"/>
                        <a:solidFill>
                          <a:srgbClr val="FFFFFF"/>
                        </a:solidFill>
                      </wps:spPr>
                      <wps:txbx>
                        <w:txbxContent>
                          <w:p>
                            <w:pPr>
                              <w:pStyle w:val="TextBody"/>
                              <w:bidi w:val="0"/>
                              <w:spacing w:before="0" w:after="283"/>
                              <w:jc w:val="left"/>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16pt;height:16.1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before="0" w:after="283"/>
                        <w:jc w:val="left"/>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Does not take into account outstanding share-settled PSUs or RSUs.</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50800" distB="0" distL="0" distR="0" simplePos="0" locked="0" layoutInCell="1" allowOverlap="1" relativeHeight="425">
                <wp:simplePos x="0" y="0"/>
                <wp:positionH relativeFrom="column">
                  <wp:align>left</wp:align>
                </wp:positionH>
                <wp:positionV relativeFrom="line">
                  <wp:align>top</wp:align>
                </wp:positionV>
                <wp:extent cx="203200" cy="228600"/>
                <wp:effectExtent l="0" t="0" r="0" b="0"/>
                <wp:wrapSquare wrapText="right"/>
                <wp:docPr id="437" name="Frame215"/>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2.</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2.</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The Coherent Inc. Equity Incentive Plan was not approved by the Company’s shareholders, but was approved by Coherent, Inc.’s stockholders and assumed in the acquisition of Coherent, Inc. Mr. Anderson’s inducement awards were non-Plan “Employment inducement awards” as contemplated by the New York Stock Exchange Listing Rule 303A.08, were not made pursuant to the Omnibus Incentive Plan and not approved by the Company’s shareholders, but were approved by the Company’s Board of Directors. The Coherent Inc. Equity Incentive Plan and Mr. Anderson’s inducement awards are described in Note 13 to the Company’s Consolidated Financial Statements included in its Annual Report on Form 10-K for the fiscal year that ended on June 30, 2026.</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50800" distB="0" distL="0" distR="0" simplePos="0" locked="0" layoutInCell="1" allowOverlap="1" relativeHeight="426">
                <wp:simplePos x="0" y="0"/>
                <wp:positionH relativeFrom="column">
                  <wp:align>left</wp:align>
                </wp:positionH>
                <wp:positionV relativeFrom="line">
                  <wp:align>top</wp:align>
                </wp:positionV>
                <wp:extent cx="203200" cy="228600"/>
                <wp:effectExtent l="0" t="0" r="0" b="0"/>
                <wp:wrapSquare wrapText="right"/>
                <wp:docPr id="438" name="Frame216"/>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3.</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3.</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213" w:right="40" w:hanging="0"/>
        <w:jc w:val="left"/>
        <w:rPr>
          <w:rFonts w:ascii="Arial;Helvetica;sans-serif" w:hAnsi="Arial;Helvetica;sans-serif"/>
          <w:b w:val="false"/>
          <w:i w:val="false"/>
          <w:caps w:val="false"/>
          <w:smallCaps w:val="false"/>
          <w:color w:val="000000"/>
          <w:spacing w:val="-1"/>
          <w:sz w:val="14"/>
          <w:shd w:fill="FFFFFF" w:val="clear"/>
        </w:rPr>
      </w:pPr>
      <w:r>
        <w:rPr>
          <w:rFonts w:ascii="Arial;Helvetica;sans-serif" w:hAnsi="Arial;Helvetica;sans-serif"/>
          <w:b w:val="false"/>
          <w:i w:val="false"/>
          <w:caps w:val="false"/>
          <w:smallCaps w:val="false"/>
          <w:color w:val="000000"/>
          <w:spacing w:val="-1"/>
          <w:sz w:val="14"/>
          <w:shd w:fill="FFFFFF" w:val="clear"/>
        </w:rPr>
        <w:t xml:space="preserve">Securities remaining for future issuance as of June 30, 2026 includes 6,527,540 shares available under the Omnibus Incentive Plan and 3,951,850 shares subject to purchase under our Employee Stock Purchase Plan during the purchase period in effect at June 30, 2026 which was from February 1, 2026 through July 31, 2026. </w:t>
      </w:r>
      <w:r>
        <mc:AlternateContent>
          <mc:Choice Requires="wps">
            <w:drawing>
              <wp:anchor behindDoc="0" distT="50800" distB="0" distL="0" distR="0" simplePos="0" locked="0" layoutInCell="1" allowOverlap="1" relativeHeight="427">
                <wp:simplePos x="0" y="0"/>
                <wp:positionH relativeFrom="column">
                  <wp:align>left</wp:align>
                </wp:positionH>
                <wp:positionV relativeFrom="line">
                  <wp:align>top</wp:align>
                </wp:positionV>
                <wp:extent cx="203200" cy="228600"/>
                <wp:effectExtent l="0" t="0" r="0" b="0"/>
                <wp:wrapSquare wrapText="right"/>
                <wp:docPr id="439" name="Frame217"/>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4.</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4.</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85</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8" w:name="tGEN"/>
      <w:bookmarkEnd w:id="2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640" w:before="120" w:after="325"/>
        <w:ind w:left="893" w:right="40" w:hanging="0"/>
        <w:jc w:val="left"/>
        <w:rPr>
          <w:rFonts w:ascii="Tahoma;Geneva;sans-serif" w:hAnsi="Tahoma;Geneva;sans-serif"/>
          <w:b/>
          <w:i w:val="false"/>
          <w:caps w:val="false"/>
          <w:smallCaps w:val="false"/>
          <w:color w:val="0068C7"/>
          <w:sz w:val="60"/>
          <w:shd w:fill="FFFFFF" w:val="clear"/>
        </w:rPr>
      </w:pPr>
      <w:r>
        <w:rPr>
          <w:rFonts w:ascii="Tahoma;Geneva;sans-serif" w:hAnsi="Tahoma;Geneva;sans-serif"/>
          <w:b/>
          <w:i w:val="false"/>
          <w:caps w:val="false"/>
          <w:smallCaps w:val="false"/>
          <w:color w:val="0068C7"/>
          <w:sz w:val="60"/>
          <w:shd w:fill="FFFFFF" w:val="clear"/>
        </w:rPr>
        <w:t>GENERAL</w:t>
      </w:r>
      <w:r>
        <w:rPr>
          <w:rFonts w:ascii="Tahoma;Geneva;sans-serif" w:hAnsi="Tahoma;Geneva;sans-serif"/>
          <w:b/>
          <w:i w:val="false"/>
          <w:caps w:val="false"/>
          <w:smallCaps w:val="false"/>
          <w:color w:val="000000"/>
          <w:spacing w:val="12"/>
          <w:sz w:val="6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enclosed proxy is solicited on behalf of the Board of Directors (the “Board”) of Coherent Corp., a Pennsylvania corporation (the “Company” or “Coherent”), for use at the annual meeting of Shareholders (“the Annual Meeting”) to be held on November 18, 2026, at 12:00 p.m. Eastern Standard Time/9:00 a.m. Pacific Standard Time, or any rescheduled date. These proxy materials were first made available on or about October 9, 2026, to shareholders of record on September 21, 2026 (the “Record Date”).</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Annual Meeting will occur as a virtual meeting conducted exclusively via a live audio webcast at www.virtualshareholdermeeting.com/COHR2026. You will need your control number, included on your proxy card or Notice, to access the webcast. Please see the Company’s website at www.coherent.com/company/investor-relations/governance for further information about the Annual Meeting.</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WHAT IS THE PURPOSE OF THE ANNUAL MEETING?</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Shareholders will act on the matters outlined in the Notice page of this proxy statement. We are not aware of any other matters to be presented at the Annual Meeting. If any other matter is properly presented at the Annual Meeting, your proxy holder will vote your shares in his or her discretion.</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WHO MAY VOTE AT THE ANNUAL MEETING?</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You are entitled to vote at the Annual Meeting if our records show that you held shares of Company common stock, no par value (“Common Stock”), as of the close of business on the Record Date. As of the Record Date, 196,931,166 shares of Common Stock were issued and outstanding.</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WHAT ARE THE VOTING RIGHTS OF HOLDERS OF COHERENT COMMON STOCK?</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Each share of Common Stock is entitled to one vote on all matters submitted to a vote of the shareholders, including the election of directors. Shareholders do not have cumulative voting rights.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WHO MAY PARTICIPATE IN THE ANNUAL MEETING?</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You are entitled to participate in the Annual Meeting if you were a shareholder as of the close of business on the Record Date, or hold a valid proxy for the Annual Meeting. To participate in the virtual Annual Meeting, including to vote, ask questions, and view the list of registered shareholders as of the Record Date, you must access the meeting website at www.virtualshareholdermeeting.com/COHR2026. To vote or submit a question, you will need the control number included on your proxy card or Notice, and to follow the instructions posted at www.virtualshareholdermeeting.com/COHR2026. If you encounter any difficulties accessing the Annual Meeting website during the check-in or meeting time, please call the technical support number that will be posted on the Annual Meeting website log-in page.</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pacing w:val="-1"/>
          <w:sz w:val="19"/>
          <w:shd w:fill="FFFFFF" w:val="clear"/>
        </w:rPr>
      </w:pPr>
      <w:r>
        <w:rPr>
          <w:rFonts w:ascii="Arial;Helvetica;sans-serif" w:hAnsi="Arial;Helvetica;sans-serif"/>
          <w:b w:val="false"/>
          <w:i w:val="false"/>
          <w:caps w:val="false"/>
          <w:smallCaps w:val="false"/>
          <w:color w:val="000000"/>
          <w:spacing w:val="-1"/>
          <w:sz w:val="19"/>
          <w:shd w:fill="FFFFFF" w:val="clear"/>
        </w:rPr>
        <w:t xml:space="preserve">We will endeavor to answer as many shareholder-submitted questions as time permits that comply with the Annual Meeting rules of conduct. We reserve the right to group questions on the same topic, to edit inappropriate language and to exclude questions regarding topics that are not pertinent to Annual Meeting matters.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86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440" w:before="120" w:after="2470"/>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WHAT CONSTITUTES A QUORUM?</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Our bylaws provide that the presence, in person (virtually) or by proxy, of shareholders entitled to cast at least a majority of the votes that all shareholders are entitled to cast at the annual meeting will constitute a quorum at the Annual Meeting. The virtual presence via the webcast or by proxy of shareholders entitled to cast at least 98,465,583 votes will be required to establish a quorum. Proxies received but marked as abstentions and broker non-votes (explained below) will be included as shares present when determining whether there is a quorum. If there is no quorum, the presiding officer of the Annual Meeting, or the shareholders present and entitled to cast a majority of the votes present at the Annual Meeting, may adjourn the Annual Meeting to another date.</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HOW DO I VOTE?</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Whether or not you plan to attend the Annual Meeting, we urge you to vote by proxy to ensure your vote is counted. If entitled to vote, you may vote:</w:t>
      </w:r>
      <w:r>
        <w:rPr>
          <w:rFonts w:ascii="Arial;Helvetica;sans-serif" w:hAnsi="Arial;Helvetica;sans-serif"/>
          <w:b w:val="false"/>
          <w:i w:val="false"/>
          <w:caps w:val="false"/>
          <w:smallCaps w:val="false"/>
          <w:color w:val="000000"/>
          <w:spacing w:val="4"/>
          <w:sz w:val="19"/>
          <w:shd w:fill="FFFFFF" w:val="clear"/>
        </w:rPr>
        <w:t xml:space="preserve"> </w:t>
      </w:r>
    </w:p>
    <w:tbl>
      <w:tblPr>
        <w:tblW w:w="9272" w:type="dxa"/>
        <w:jc w:val="left"/>
        <w:tblInd w:w="893" w:type="dxa"/>
        <w:tblLayout w:type="fixed"/>
        <w:tblCellMar>
          <w:top w:w="0" w:type="dxa"/>
          <w:left w:w="0" w:type="dxa"/>
          <w:bottom w:w="0" w:type="dxa"/>
          <w:right w:w="0" w:type="dxa"/>
        </w:tblCellMar>
      </w:tblPr>
      <w:tblGrid>
        <w:gridCol w:w="124"/>
        <w:gridCol w:w="393"/>
        <w:gridCol w:w="109"/>
        <w:gridCol w:w="109"/>
        <w:gridCol w:w="8382"/>
        <w:gridCol w:w="155"/>
      </w:tblGrid>
      <w:tr>
        <w:trPr/>
        <w:tc>
          <w:tcPr>
            <w:tcW w:w="124" w:type="dxa"/>
            <w:tcBorders/>
            <w:vAlign w:val="center"/>
          </w:tcPr>
          <w:p>
            <w:pPr>
              <w:pStyle w:val="TableContents"/>
              <w:bidi w:val="0"/>
              <w:spacing w:before="0" w:after="283"/>
              <w:jc w:val="left"/>
              <w:rPr/>
            </w:pPr>
            <w:r>
              <w:rPr/>
              <w:t>​</w:t>
            </w:r>
          </w:p>
        </w:tc>
        <w:tc>
          <w:tcPr>
            <w:tcW w:w="393" w:type="dxa"/>
            <w:tcBorders/>
            <w:vAlign w:val="center"/>
          </w:tcPr>
          <w:p>
            <w:pPr>
              <w:pStyle w:val="TableContents"/>
              <w:bidi w:val="0"/>
              <w:spacing w:before="0" w:after="0"/>
              <w:jc w:val="center"/>
              <w:rPr/>
            </w:pPr>
            <w:r>
              <w:rPr/>
              <w:drawing>
                <wp:inline distT="0" distB="0" distL="0" distR="0">
                  <wp:extent cx="190500" cy="171450"/>
                  <wp:effectExtent l="0" t="0" r="0" b="0"/>
                  <wp:docPr id="440"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202" descr=""/>
                          <pic:cNvPicPr>
                            <a:picLocks noChangeAspect="1" noChangeArrowheads="1"/>
                          </pic:cNvPicPr>
                        </pic:nvPicPr>
                        <pic:blipFill>
                          <a:blip r:embed="rId224"/>
                          <a:stretch>
                            <a:fillRect/>
                          </a:stretch>
                        </pic:blipFill>
                        <pic:spPr bwMode="auto">
                          <a:xfrm>
                            <a:off x="0" y="0"/>
                            <a:ext cx="190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82" w:type="dxa"/>
            <w:tcBorders/>
            <w:vAlign w:val="center"/>
          </w:tcPr>
          <w:p>
            <w:pPr>
              <w:pStyle w:val="TableContents"/>
              <w:bidi w:val="0"/>
              <w:spacing w:lineRule="atLeast" w:line="255" w:before="0" w:after="0"/>
              <w:jc w:val="left"/>
              <w:rPr/>
            </w:pPr>
            <w:r>
              <w:rPr>
                <w:b/>
                <w:spacing w:val="0"/>
              </w:rPr>
              <w:t>Through your broker</w:t>
            </w:r>
            <w:r>
              <w:rPr>
                <w:spacing w:val="-1"/>
              </w:rPr>
              <w:t xml:space="preserve">: If your shares are held through a broker, bank or other nominee (commonly referred to as held in “street name”), you will receive instructions from them that you must follow to have your shares voted. If you do not provide voting instructions to your broker, bank or other nominee, your shares will not be voted on any matter that your broker, bank or other nominee does not have discretionary authority to vote on.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93" w:type="dxa"/>
            <w:tcBorders/>
            <w:vAlign w:val="center"/>
          </w:tcPr>
          <w:p>
            <w:pPr>
              <w:pStyle w:val="TableContents"/>
              <w:bidi w:val="0"/>
              <w:spacing w:before="0" w:after="0"/>
              <w:jc w:val="center"/>
              <w:rPr/>
            </w:pPr>
            <w:r>
              <w:rPr/>
              <w:drawing>
                <wp:inline distT="0" distB="0" distL="0" distR="0">
                  <wp:extent cx="190500" cy="171450"/>
                  <wp:effectExtent l="0" t="0" r="0" b="0"/>
                  <wp:docPr id="441"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203" descr=""/>
                          <pic:cNvPicPr>
                            <a:picLocks noChangeAspect="1" noChangeArrowheads="1"/>
                          </pic:cNvPicPr>
                        </pic:nvPicPr>
                        <pic:blipFill>
                          <a:blip r:embed="rId225"/>
                          <a:stretch>
                            <a:fillRect/>
                          </a:stretch>
                        </pic:blipFill>
                        <pic:spPr bwMode="auto">
                          <a:xfrm>
                            <a:off x="0" y="0"/>
                            <a:ext cx="190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82" w:type="dxa"/>
            <w:tcBorders/>
            <w:vAlign w:val="center"/>
          </w:tcPr>
          <w:p>
            <w:pPr>
              <w:pStyle w:val="TableContents"/>
              <w:bidi w:val="0"/>
              <w:spacing w:lineRule="atLeast" w:line="255" w:before="0" w:after="283"/>
              <w:jc w:val="left"/>
              <w:rPr/>
            </w:pPr>
            <w:r>
              <w:rPr>
                <w:b/>
                <w:spacing w:val="0"/>
              </w:rPr>
              <w:t>Returning a proxy card</w:t>
            </w:r>
            <w:r>
              <w:rPr>
                <w:spacing w:val="-1"/>
              </w:rPr>
              <w:t xml:space="preserve">: If you receive a proxy card, sign and date it, then return it promptly in the envelope provided. If your signed proxy card is received before the Annual Meeting, the designated proxies will vote your shares as you direct. If you return a signed proxy card that does not direct how to vote on a proposal, the designated proxies will vote in their discretion as recommended by the Board on that proposal.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93" w:type="dxa"/>
            <w:tcBorders/>
            <w:vAlign w:val="center"/>
          </w:tcPr>
          <w:p>
            <w:pPr>
              <w:pStyle w:val="TableContents"/>
              <w:bidi w:val="0"/>
              <w:spacing w:before="0" w:after="0"/>
              <w:jc w:val="center"/>
              <w:rPr/>
            </w:pPr>
            <w:r>
              <w:rPr/>
              <w:drawing>
                <wp:inline distT="0" distB="0" distL="0" distR="0">
                  <wp:extent cx="190500" cy="171450"/>
                  <wp:effectExtent l="0" t="0" r="0" b="0"/>
                  <wp:docPr id="442"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204" descr=""/>
                          <pic:cNvPicPr>
                            <a:picLocks noChangeAspect="1" noChangeArrowheads="1"/>
                          </pic:cNvPicPr>
                        </pic:nvPicPr>
                        <pic:blipFill>
                          <a:blip r:embed="rId226"/>
                          <a:stretch>
                            <a:fillRect/>
                          </a:stretch>
                        </pic:blipFill>
                        <pic:spPr bwMode="auto">
                          <a:xfrm>
                            <a:off x="0" y="0"/>
                            <a:ext cx="190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82" w:type="dxa"/>
            <w:tcBorders/>
            <w:vAlign w:val="center"/>
          </w:tcPr>
          <w:p>
            <w:pPr>
              <w:pStyle w:val="TableContents"/>
              <w:bidi w:val="0"/>
              <w:spacing w:lineRule="atLeast" w:line="255" w:before="0" w:after="283"/>
              <w:jc w:val="left"/>
              <w:rPr/>
            </w:pPr>
            <w:r>
              <w:rPr>
                <w:b/>
                <w:spacing w:val="0"/>
              </w:rPr>
              <w:t>Using the telephone</w:t>
            </w:r>
            <w:r>
              <w:rPr>
                <w:spacing w:val="-1"/>
              </w:rPr>
              <w:t xml:space="preserve">: Dial toll-free at 1-800-690-6903 (toll free within the U.S. and Canada), or +1-720-378-5962 for calls made from outside the U.S. or Canada and follow the recorded instructions. You will be asked to provide the control number from your proxy card or Notice.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93" w:type="dxa"/>
            <w:tcBorders/>
            <w:vAlign w:val="center"/>
          </w:tcPr>
          <w:p>
            <w:pPr>
              <w:pStyle w:val="TableContents"/>
              <w:bidi w:val="0"/>
              <w:spacing w:before="0" w:after="0"/>
              <w:jc w:val="center"/>
              <w:rPr/>
            </w:pPr>
            <w:r>
              <w:rPr/>
              <w:drawing>
                <wp:inline distT="0" distB="0" distL="0" distR="0">
                  <wp:extent cx="190500" cy="171450"/>
                  <wp:effectExtent l="0" t="0" r="0" b="0"/>
                  <wp:docPr id="443"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Image205" descr=""/>
                          <pic:cNvPicPr>
                            <a:picLocks noChangeAspect="1" noChangeArrowheads="1"/>
                          </pic:cNvPicPr>
                        </pic:nvPicPr>
                        <pic:blipFill>
                          <a:blip r:embed="rId227"/>
                          <a:stretch>
                            <a:fillRect/>
                          </a:stretch>
                        </pic:blipFill>
                        <pic:spPr bwMode="auto">
                          <a:xfrm>
                            <a:off x="0" y="0"/>
                            <a:ext cx="190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82" w:type="dxa"/>
            <w:tcBorders/>
            <w:vAlign w:val="center"/>
          </w:tcPr>
          <w:p>
            <w:pPr>
              <w:pStyle w:val="TableContents"/>
              <w:bidi w:val="0"/>
              <w:spacing w:lineRule="atLeast" w:line="255" w:before="0" w:after="283"/>
              <w:jc w:val="left"/>
              <w:rPr/>
            </w:pPr>
            <w:r>
              <w:rPr>
                <w:b/>
                <w:spacing w:val="0"/>
              </w:rPr>
              <w:t>Via the internet</w:t>
            </w:r>
            <w:r>
              <w:rPr>
                <w:spacing w:val="-1"/>
              </w:rPr>
              <w:t xml:space="preserve">: Go to www.proxyvote.com and follow the instructions provided. You will be asked for the control number located on the proxy card or Notice.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93" w:type="dxa"/>
            <w:tcBorders/>
            <w:vAlign w:val="center"/>
          </w:tcPr>
          <w:p>
            <w:pPr>
              <w:pStyle w:val="TableContents"/>
              <w:bidi w:val="0"/>
              <w:spacing w:before="0" w:after="0"/>
              <w:jc w:val="center"/>
              <w:rPr/>
            </w:pPr>
            <w:r>
              <w:rPr/>
              <w:drawing>
                <wp:inline distT="0" distB="0" distL="0" distR="0">
                  <wp:extent cx="190500" cy="171450"/>
                  <wp:effectExtent l="0" t="0" r="0" b="0"/>
                  <wp:docPr id="444"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206" descr=""/>
                          <pic:cNvPicPr>
                            <a:picLocks noChangeAspect="1" noChangeArrowheads="1"/>
                          </pic:cNvPicPr>
                        </pic:nvPicPr>
                        <pic:blipFill>
                          <a:blip r:embed="rId228"/>
                          <a:stretch>
                            <a:fillRect/>
                          </a:stretch>
                        </pic:blipFill>
                        <pic:spPr bwMode="auto">
                          <a:xfrm>
                            <a:off x="0" y="0"/>
                            <a:ext cx="190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82" w:type="dxa"/>
            <w:tcBorders/>
            <w:vAlign w:val="center"/>
          </w:tcPr>
          <w:p>
            <w:pPr>
              <w:pStyle w:val="TableContents"/>
              <w:bidi w:val="0"/>
              <w:spacing w:lineRule="atLeast" w:line="255" w:before="0" w:after="283"/>
              <w:jc w:val="left"/>
              <w:rPr/>
            </w:pPr>
            <w:r>
              <w:rPr>
                <w:b/>
                <w:spacing w:val="0"/>
              </w:rPr>
              <w:t>Virtually during the Annual Meeting</w:t>
            </w:r>
            <w:r>
              <w:rPr>
                <w:spacing w:val="-1"/>
              </w:rPr>
              <w:t>: Please follow the instructions posted at www.virtualshareholdermeeting.com/</w:t>
            </w:r>
            <w:r>
              <w:rPr/>
              <w:t>​</w:t>
            </w:r>
            <w:r>
              <w:rPr>
                <w:spacing w:val="-1"/>
              </w:rPr>
              <w:t>COHR2026. All votes must be received before the polls close during the Annual Meeting.</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440" w:before="640" w:after="283"/>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HOW DO I REQUEST PAPER COPIES OF THE PROXY MATERIALS?</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pacing w:val="-1"/>
          <w:sz w:val="19"/>
          <w:shd w:fill="FFFFFF" w:val="clear"/>
        </w:rPr>
      </w:pPr>
      <w:r>
        <w:rPr>
          <w:rFonts w:ascii="Arial;Helvetica;sans-serif" w:hAnsi="Arial;Helvetica;sans-serif"/>
          <w:b w:val="false"/>
          <w:i w:val="false"/>
          <w:caps w:val="false"/>
          <w:smallCaps w:val="false"/>
          <w:color w:val="000000"/>
          <w:spacing w:val="-1"/>
          <w:sz w:val="19"/>
          <w:shd w:fill="FFFFFF" w:val="clear"/>
        </w:rPr>
        <w:t xml:space="preserve">Please refer to the Notice for the ways you may request a paper copy of the proxy statement and proxy card.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87</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440" w:before="120" w:after="135"/>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CAN I CHANGE OR REVOKE MY VOTE AFTER I VOTE ONLINE OR RETURN MY PROXY CARD?</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Yes. Even after you have submitted your proxy, you may change or revoke your vote at any time before the proxy is exercised. You may (i) deliver a notice of revocation or deliver a later-dated proxy to the Company’s Secretary at Coherent Corp., 375 Saxonburg Boulevard, Saxonburg, Pennsylvania 16056; (ii) submit another vote via the internet or by telephone; or (iii) vote during the Annual Meeting. Your participation in the Annual Meeting will not automatically revoke a previously submitted proxy. A shareholder’s last vote is the vote that will be counted.</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WHAT ARE THE RECOMMENDATIONS OF THE BOARD?</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Unless you give other instructions when you vote, the persons named as proxy holders on the proxy card will vote in accordance with the recommendations of the Board. These recommendations are set forth in the description of each proposal in this proxy statement. In summary, the Board recommends a vote:</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5" w:before="180"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i w:val="false"/>
          <w:caps w:val="false"/>
          <w:smallCaps w:val="false"/>
          <w:color w:val="000000"/>
          <w:spacing w:val="-2"/>
          <w:sz w:val="19"/>
          <w:shd w:fill="FFFFFF" w:val="clear"/>
        </w:rPr>
        <w:t>FOR</w:t>
      </w:r>
      <w:r>
        <w:rPr>
          <w:rFonts w:ascii="Arial;Helvetica;sans-serif" w:hAnsi="Arial;Helvetica;sans-serif"/>
          <w:b w:val="false"/>
          <w:i w:val="false"/>
          <w:caps w:val="false"/>
          <w:smallCaps w:val="false"/>
          <w:color w:val="000000"/>
          <w:spacing w:val="-1"/>
          <w:sz w:val="19"/>
          <w:shd w:fill="FFFFFF" w:val="clear"/>
        </w:rPr>
        <w:t xml:space="preserve"> election of the nominated slate of Class Three directors for terms expiring in 2029 (see Proposal 1);</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76200" distR="0" simplePos="0" locked="0" layoutInCell="1" allowOverlap="1" relativeHeight="428">
                <wp:simplePos x="0" y="0"/>
                <wp:positionH relativeFrom="column">
                  <wp:align>left</wp:align>
                </wp:positionH>
                <wp:positionV relativeFrom="line">
                  <wp:align>top</wp:align>
                </wp:positionV>
                <wp:extent cx="127000" cy="350520"/>
                <wp:effectExtent l="0" t="0" r="0" b="0"/>
                <wp:wrapSquare wrapText="right"/>
                <wp:docPr id="445"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9pt;mso-wrap-distance-bottom:0pt;margin-top:9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80"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i w:val="false"/>
          <w:caps w:val="false"/>
          <w:smallCaps w:val="false"/>
          <w:color w:val="000000"/>
          <w:spacing w:val="-2"/>
          <w:sz w:val="19"/>
          <w:shd w:fill="FFFFFF" w:val="clear"/>
        </w:rPr>
        <w:t>FOR</w:t>
      </w:r>
      <w:r>
        <w:rPr>
          <w:rFonts w:ascii="Arial;Helvetica;sans-serif" w:hAnsi="Arial;Helvetica;sans-serif"/>
          <w:b w:val="false"/>
          <w:i w:val="false"/>
          <w:caps w:val="false"/>
          <w:smallCaps w:val="false"/>
          <w:color w:val="000000"/>
          <w:spacing w:val="-1"/>
          <w:sz w:val="19"/>
          <w:shd w:fill="FFFFFF" w:val="clear"/>
        </w:rPr>
        <w:t xml:space="preserve"> approval, on a non-binding advisory basis, of the compensation of our named executive officers as disclosed in this proxy statement (see Proposal 2); and</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76200" distR="0" simplePos="0" locked="0" layoutInCell="1" allowOverlap="1" relativeHeight="429">
                <wp:simplePos x="0" y="0"/>
                <wp:positionH relativeFrom="column">
                  <wp:align>left</wp:align>
                </wp:positionH>
                <wp:positionV relativeFrom="line">
                  <wp:align>top</wp:align>
                </wp:positionV>
                <wp:extent cx="127000" cy="350520"/>
                <wp:effectExtent l="0" t="0" r="0" b="0"/>
                <wp:wrapSquare wrapText="right"/>
                <wp:docPr id="446"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9pt;mso-wrap-distance-bottom:0pt;margin-top:9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5" w:before="180" w:after="0"/>
        <w:ind w:left="1213" w:right="40" w:hanging="0"/>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i w:val="false"/>
          <w:caps w:val="false"/>
          <w:smallCaps w:val="false"/>
          <w:color w:val="000000"/>
          <w:spacing w:val="-2"/>
          <w:sz w:val="19"/>
          <w:shd w:fill="FFFFFF" w:val="clear"/>
        </w:rPr>
        <w:t>FOR</w:t>
      </w:r>
      <w:r>
        <w:rPr>
          <w:rFonts w:ascii="Arial;Helvetica;sans-serif" w:hAnsi="Arial;Helvetica;sans-serif"/>
          <w:b w:val="false"/>
          <w:i w:val="false"/>
          <w:caps w:val="false"/>
          <w:smallCaps w:val="false"/>
          <w:color w:val="000000"/>
          <w:spacing w:val="-1"/>
          <w:sz w:val="19"/>
          <w:shd w:fill="FFFFFF" w:val="clear"/>
        </w:rPr>
        <w:t xml:space="preserve"> ratification of the Audit and Risk Committee’s selection of Ernst &amp; Young LLP as our independent registered public accounting firm for the fiscal year ending June 30, 2027 (see Proposal 3).</w:t>
      </w:r>
      <w:r>
        <w:rPr>
          <w:rFonts w:ascii="Arial;Helvetica;sans-serif" w:hAnsi="Arial;Helvetica;sans-serif"/>
          <w:b w:val="false"/>
          <w:i w:val="false"/>
          <w:caps w:val="false"/>
          <w:smallCaps w:val="false"/>
          <w:color w:val="000000"/>
          <w:spacing w:val="4"/>
          <w:sz w:val="19"/>
          <w:shd w:fill="FFFFFF" w:val="clear"/>
        </w:rPr>
        <w:t xml:space="preserve"> </w:t>
      </w:r>
      <w:r>
        <mc:AlternateContent>
          <mc:Choice Requires="wps">
            <w:drawing>
              <wp:anchor behindDoc="0" distT="114300" distB="0" distL="76200" distR="0" simplePos="0" locked="0" layoutInCell="1" allowOverlap="1" relativeHeight="430">
                <wp:simplePos x="0" y="0"/>
                <wp:positionH relativeFrom="column">
                  <wp:align>left</wp:align>
                </wp:positionH>
                <wp:positionV relativeFrom="line">
                  <wp:align>top</wp:align>
                </wp:positionV>
                <wp:extent cx="127000" cy="350520"/>
                <wp:effectExtent l="0" t="0" r="0" b="0"/>
                <wp:wrapSquare wrapText="right"/>
                <wp:docPr id="447"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9pt;mso-wrap-distance-bottom:0pt;margin-top:9pt;mso-position-vertical:top;mso-position-vertical-relative:text;margin-left:6pt;mso-position-horizontal:left;mso-position-horizontal-relative:text">
                <v:textbox>
                  <w:txbxContent>
                    <w:p>
                      <w:pPr>
                        <w:pStyle w:val="TextBody"/>
                        <w:bidi w:val="0"/>
                        <w:spacing w:lineRule="atLeast" w:line="255"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With respect to any other matter that properly comes before the Annual Meeting, the proxy holders will vote as recommended by the Board or, if no recommendation is given, in their own discretion.</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WHAT ARE ROUTINE AND NON-ROUTINE PROPOSALS?</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Proposal 3, concerning the ratification of the Audit and Risk Committee’s selection of E&amp;Y as our independent registered public accounting firm for the fiscal year ending June 30, 2027, is considered a routine matter. A broker or other nominee may generally vote in their discretion on routine matters, and therefore no broker non-votes are expected in connection with Proposal 3.</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Proposal 1, concerning the election of the nominated slate of Class Three directors for terms expiring in 2029, and Proposal 2, concerning the approval, on a non-binding advisory basis, of the compensation of our named executive officers as disclosed in this proxy statement, are considered non-routine matters. If the organization that holds your shares does not receive instructions from you on how to vote your shares on a non-routine matter, that organization will inform the inspector of election that it does not have the authority to vote on the matter with respect to your shares. This is generally referred to as a “broker non-vote.”</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WHAT IS THE EFFECT OF ABSTENTIONS AND BROKER NON-VOTES?</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pacing w:val="-1"/>
          <w:sz w:val="19"/>
          <w:shd w:fill="FFFFFF" w:val="clear"/>
        </w:rPr>
      </w:pPr>
      <w:r>
        <w:rPr>
          <w:rFonts w:ascii="Arial;Helvetica;sans-serif" w:hAnsi="Arial;Helvetica;sans-serif"/>
          <w:b w:val="false"/>
          <w:i w:val="false"/>
          <w:caps w:val="false"/>
          <w:smallCaps w:val="false"/>
          <w:color w:val="000000"/>
          <w:spacing w:val="-1"/>
          <w:sz w:val="19"/>
          <w:shd w:fill="FFFFFF" w:val="clear"/>
        </w:rPr>
        <w:t xml:space="preserve">Abstentions and broker non-votes will be counted for purposes of establishing a quorum. Abstentions and broker non-votes will not be taken into account in determining the outcome of the election of directors, since they are not considered to be “votes cast”. Abstentions have the effect of a vote “AGAINST” with respect to Proposals 2 and 3. Broker non-votes have no effect on Proposal 2.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88</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9" w:name="tOTIN"/>
      <w:bookmarkEnd w:id="29"/>
      <w:r>
        <w:rPr>
          <w:rFonts w:ascii="calibri;arial;sans-serif" w:hAnsi="calibri;arial;sans-serif"/>
          <w:b w:val="false"/>
          <w:i w:val="false"/>
          <w:caps w:val="false"/>
          <w:smallCaps w:val="false"/>
          <w:sz w:val="18"/>
          <w:shd w:fill="E5E4E2" w:val="clear"/>
        </w:rPr>
        <w:t>​</w:t>
      </w:r>
      <w:bookmarkStart w:id="30" w:name="tOTMA"/>
      <w:bookmarkEnd w:id="3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440" w:before="120" w:after="283"/>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OTHER INFORMATION</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Company will pay the expenses of soliciting proxies to be voted at the annual meeting, including the cost of preparing and posting this proxy statement and the annual report to the internet, and the cost of printing, assembling and mailing the proxy materials and/or the Notice of Internet Availability of Proxy Materials, as applicable, to shareholders. The Company may request persons holding shares in their names, or in the names of their nominees, to send proxy materials to, and obtain proxies from, their principals, and will reimburse such persons for their expense in so doing.</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SHAREHOLDER PROPOSALS</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Proposals by shareholders intended for inclusion in the Company’s proxy statement and form of proxy for the annual meeting of the Company expected to be held in November 2027 must be delivered to the Secretary of Coherent Corp. at 375 Saxonburg Boulevard, Saxonburg, Pennsylvania 16056, by June 11, 2027. Rules under the Securities Exchange Act of 1934, as amended, describe the standards as to the submission of shareholder proposals. Additionally, the Board-appointed proxies will have discretionary authority to vote on any proposals by shareholders that are not intended to be included in the Company’s proxy materials for our 2027 annual meeting of shareholders, but are intended to be presented by the shareholder from the floor, if notice of the intent to make such proposal is received by the Secretary at the above address no later than the close of business on July 21, 2027, and no earlier than the close of business on June 21, 2027. Otherwise, such proposals will be considered untimely. Any such notice of intent by a shareholder must also comply with the requirements contained in the Company’s Amended and Restated Bylaws.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In addition to satisfying the requirements under the Amended and Restated Bylaws, shareholders who intend to solicit proxies in support of director nominees other than Coherent’s nominees must provide notice that sets forth the information required by Rule 14a-19 under the Exchange Act to comply with the universal proxy rules, which notice must be postmarked or transmitted electronically to Coherent at its principal executive offices no later than 60 calendar days prior to the anniversary date of the Annual Meeting. However, if the date of our 2027 annual meeting of shareholders is changed by more than 30 calendar days from such anniversary date, then notice must be provided by the later of 60 calendar days prior to the date of the 2027 annual meeting or the 10th calendar day following the day on which public announcement of the date of the 2027 annual meeting is first made.</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HOUSEHOLDING</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term “householding” means that we will deliver only one copy of our annual report and proxy statement to shareholders of record who share the same address and last name unless we have received contrary instructions from you. This procedure reduces our printing costs and mailing costs and fees. Upon written or oral request, we will promptly deliver a separate annual report and proxy statement to any shareholder at a shared address to which a single copy of either of those documents was delivered.</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pacing w:val="-1"/>
          <w:sz w:val="19"/>
          <w:shd w:fill="FFFFFF" w:val="clear"/>
        </w:rPr>
      </w:pPr>
      <w:r>
        <w:rPr>
          <w:rFonts w:ascii="Arial;Helvetica;sans-serif" w:hAnsi="Arial;Helvetica;sans-serif"/>
          <w:b w:val="false"/>
          <w:i w:val="false"/>
          <w:caps w:val="false"/>
          <w:smallCaps w:val="false"/>
          <w:color w:val="000000"/>
          <w:spacing w:val="-1"/>
          <w:sz w:val="19"/>
          <w:shd w:fill="FFFFFF" w:val="clear"/>
        </w:rPr>
        <w:t xml:space="preserve">If you would like to receive a separate copy of the annual report for proxy statement for this meeting or opt out of householding, or if you are a shareholder eligible for householding and would like to participate in householding, please send a request addressed to Chief Legal and Global Affairs Officer and Secretary of Coherent Corp., 375 Saxonburg Boulevard, Saxonburg, Pennsylvania 16056 or by calling +1 (724) 352-4455. Many brokerage firms have instituted householding. If you hold your shares in “street name,” please contact your bank, broker or other holder of record to request information about householding.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OTHER MATTERS</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The Company knows of no other matters to be presented for action at the meeting. However, if other matters properly come before the meeting, votes will be cast on those matters in accordance with the best judgment of the persons acting as proxies.</w:t>
      </w:r>
      <w:r>
        <w:rPr>
          <w:rFonts w:ascii="Arial;Helvetica;sans-serif" w:hAnsi="Arial;Helvetica;sans-serif"/>
          <w:b w:val="false"/>
          <w:i w:val="false"/>
          <w:caps w:val="false"/>
          <w:smallCaps w:val="false"/>
          <w:color w:val="000000"/>
          <w:spacing w:val="4"/>
          <w:sz w:val="19"/>
          <w:shd w:fill="FFFFFF" w:val="clear"/>
        </w:rPr>
        <w:t xml:space="preserve">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89</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31" w:name="tAROF"/>
      <w:bookmarkEnd w:id="3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440" w:before="120" w:after="11000"/>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ANNUAL REPORT ON FORM 10-K</w:t>
      </w:r>
      <w:r>
        <w:rPr>
          <w:rFonts w:ascii="Tahoma;Geneva;sans-serif" w:hAnsi="Tahoma;Geneva;sans-serif"/>
          <w:b/>
          <w:i w:val="false"/>
          <w:caps w:val="false"/>
          <w:smallCaps w:val="false"/>
          <w:color w:val="000000"/>
          <w:spacing w:val="8"/>
          <w:sz w:val="40"/>
          <w:shd w:fill="FFFFFF" w:val="clear"/>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9"/>
          <w:shd w:fill="FFFFFF" w:val="clear"/>
        </w:rPr>
      </w:pPr>
      <w:r>
        <w:rPr>
          <w:rFonts w:ascii="Arial;Helvetica;sans-serif" w:hAnsi="Arial;Helvetica;sans-serif"/>
          <w:b w:val="false"/>
          <w:i w:val="false"/>
          <w:caps w:val="false"/>
          <w:smallCaps w:val="false"/>
          <w:color w:val="000000"/>
          <w:spacing w:val="-1"/>
          <w:sz w:val="19"/>
          <w:shd w:fill="FFFFFF" w:val="clear"/>
        </w:rPr>
        <w:t>A copy of the Company’s Annual Report on Form 10-K for fiscal year 2026, as filed with the SEC, is being furnished with this proxy statement. A shareholder may obtain additional copies of the Annual Report on Form 10-K without charge, and a copy of any exhibits upon payment of a reasonable charge limited to the Company’s costs of providing the exhibits, by writing to Secretary of Coherent Corp., 375 Saxonburg Boulevard, Saxonburg, Pennsylvania 16056, or by calling +1 (724) 352-4455. As noted previously, this proxy statement and the Annual Report to Shareholders have been posted on the internet at www.proxyvote.com.</w:t>
      </w:r>
      <w:r>
        <w:rPr>
          <w:rFonts w:ascii="Arial;Helvetica;sans-serif" w:hAnsi="Arial;Helvetica;sans-serif"/>
          <w:b w:val="false"/>
          <w:i w:val="false"/>
          <w:caps w:val="false"/>
          <w:smallCaps w:val="false"/>
          <w:color w:val="000000"/>
          <w:sz w:val="19"/>
          <w:shd w:fill="FFFFFF" w:val="clear"/>
        </w:rPr>
        <w:t xml:space="preserve"> </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90</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640" w:before="120" w:after="1190"/>
        <w:ind w:left="893" w:right="40" w:hanging="0"/>
        <w:jc w:val="left"/>
        <w:rPr>
          <w:rFonts w:ascii="Tahoma;Geneva;sans-serif" w:hAnsi="Tahoma;Geneva;sans-serif"/>
          <w:b/>
          <w:i w:val="false"/>
          <w:caps w:val="false"/>
          <w:smallCaps w:val="false"/>
          <w:color w:val="0068C7"/>
          <w:sz w:val="60"/>
          <w:shd w:fill="FFFFFF" w:val="clear"/>
        </w:rPr>
      </w:pPr>
      <w:r>
        <w:rPr>
          <w:rFonts w:ascii="Tahoma;Geneva;sans-serif" w:hAnsi="Tahoma;Geneva;sans-serif"/>
          <w:b/>
          <w:i w:val="false"/>
          <w:caps w:val="false"/>
          <w:smallCaps w:val="false"/>
          <w:color w:val="0068C7"/>
          <w:sz w:val="60"/>
          <w:shd w:fill="FFFFFF" w:val="clear"/>
        </w:rPr>
        <w:t>APPENDIX</w:t>
      </w:r>
      <w:r>
        <w:rPr>
          <w:rFonts w:ascii="Tahoma;Geneva;sans-serif" w:hAnsi="Tahoma;Geneva;sans-serif"/>
          <w:b/>
          <w:i w:val="false"/>
          <w:caps w:val="false"/>
          <w:smallCaps w:val="false"/>
          <w:color w:val="000000"/>
          <w:spacing w:val="12"/>
          <w:sz w:val="60"/>
          <w:shd w:fill="FFFFFF" w:val="clear"/>
        </w:rPr>
        <w:t xml:space="preserve"> </w:t>
      </w:r>
    </w:p>
    <w:p>
      <w:pPr>
        <w:pStyle w:val="TextBody"/>
        <w:bidi w:val="0"/>
        <w:spacing w:lineRule="atLeast" w:line="440" w:before="480" w:after="283"/>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 xml:space="preserve">RECONCILIATION OF GAAP NET EARNINGS, EBITDA AND </w:t>
        <w:br/>
        <w:t>ADJUSTED EBITDA*</w:t>
      </w:r>
      <w:r>
        <w:rPr>
          <w:rFonts w:ascii="Tahoma;Geneva;sans-serif" w:hAnsi="Tahoma;Geneva;sans-serif"/>
          <w:b/>
          <w:i w:val="false"/>
          <w:caps w:val="false"/>
          <w:smallCaps w:val="false"/>
          <w:color w:val="000000"/>
          <w:spacing w:val="8"/>
          <w:sz w:val="40"/>
          <w:shd w:fill="FFFFFF" w:val="clear"/>
        </w:rPr>
        <w:t xml:space="preserve"> </w:t>
      </w:r>
    </w:p>
    <w:tbl>
      <w:tblPr>
        <w:tblW w:w="8847" w:type="dxa"/>
        <w:jc w:val="left"/>
        <w:tblInd w:w="893" w:type="dxa"/>
        <w:tblLayout w:type="fixed"/>
        <w:tblCellMar>
          <w:top w:w="0" w:type="dxa"/>
          <w:left w:w="0" w:type="dxa"/>
          <w:bottom w:w="28" w:type="dxa"/>
          <w:right w:w="0" w:type="dxa"/>
        </w:tblCellMar>
      </w:tblPr>
      <w:tblGrid>
        <w:gridCol w:w="124"/>
        <w:gridCol w:w="5131"/>
        <w:gridCol w:w="109"/>
        <w:gridCol w:w="109"/>
        <w:gridCol w:w="1501"/>
        <w:gridCol w:w="109"/>
        <w:gridCol w:w="109"/>
        <w:gridCol w:w="1501"/>
        <w:gridCol w:w="154"/>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5131"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3220" w:type="dxa"/>
            <w:gridSpan w:val="4"/>
            <w:tcBorders>
              <w:bottom w:val="single" w:sz="2" w:space="0" w:color="FFFFFF"/>
            </w:tcBorders>
            <w:shd w:fill="000000" w:val="clear"/>
            <w:tcMar>
              <w:bottom w:w="50" w:type="dxa"/>
            </w:tcMar>
            <w:vAlign w:val="center"/>
          </w:tcPr>
          <w:p>
            <w:pPr>
              <w:pStyle w:val="TableContents"/>
              <w:bidi w:val="0"/>
              <w:spacing w:before="0" w:after="0"/>
              <w:jc w:val="center"/>
              <w:rPr/>
            </w:pPr>
            <w:r>
              <w:rPr/>
              <w:t xml:space="preserve">Year Ended </w:t>
            </w:r>
          </w:p>
        </w:tc>
        <w:tc>
          <w:tcPr>
            <w:tcW w:w="154" w:type="dxa"/>
            <w:tcBorders>
              <w:bottom w:val="single" w:sz="2" w:space="0" w:color="000000"/>
            </w:tcBorders>
            <w:shd w:fill="000000" w:val="clear"/>
            <w:vAlign w:val="center"/>
          </w:tcPr>
          <w:p>
            <w:pPr>
              <w:pStyle w:val="TableContents"/>
              <w:bidi w:val="0"/>
              <w:spacing w:before="0" w:after="283"/>
              <w:jc w:val="left"/>
              <w:rPr/>
            </w:pPr>
            <w:r>
              <w:rPr/>
              <w:t>​</w:t>
            </w:r>
          </w:p>
        </w:tc>
      </w:tr>
      <w:tr>
        <w:trPr/>
        <w:tc>
          <w:tcPr>
            <w:tcW w:w="124" w:type="dxa"/>
            <w:tcBorders/>
            <w:shd w:fill="000000" w:val="clear"/>
            <w:tcMar>
              <w:bottom w:w="0" w:type="dxa"/>
            </w:tcMar>
            <w:vAlign w:val="center"/>
          </w:tcPr>
          <w:p>
            <w:pPr>
              <w:pStyle w:val="TableContents"/>
              <w:bidi w:val="0"/>
              <w:spacing w:before="0" w:after="283"/>
              <w:jc w:val="left"/>
              <w:rPr/>
            </w:pPr>
            <w:r>
              <w:rPr/>
              <w:t>​</w:t>
            </w:r>
          </w:p>
        </w:tc>
        <w:tc>
          <w:tcPr>
            <w:tcW w:w="5131" w:type="dxa"/>
            <w:tcBorders/>
            <w:shd w:fill="000000" w:val="clear"/>
            <w:tcMar>
              <w:bottom w:w="0" w:type="dxa"/>
            </w:tcMar>
            <w:vAlign w:val="center"/>
          </w:tcPr>
          <w:p>
            <w:pPr>
              <w:pStyle w:val="TableContents"/>
              <w:bidi w:val="0"/>
              <w:spacing w:before="0" w:after="0"/>
              <w:jc w:val="left"/>
              <w:rPr/>
            </w:pPr>
            <w:r>
              <w:rPr/>
              <w:t xml:space="preserve">$ Millions, Except Percentage Amounts (Unaudited)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501" w:type="dxa"/>
            <w:tcBorders/>
            <w:shd w:fill="000000" w:val="clear"/>
            <w:tcMar>
              <w:bottom w:w="0" w:type="dxa"/>
            </w:tcMar>
            <w:vAlign w:val="center"/>
          </w:tcPr>
          <w:p>
            <w:pPr>
              <w:pStyle w:val="TableContents"/>
              <w:bidi w:val="0"/>
              <w:spacing w:before="0" w:after="0"/>
              <w:jc w:val="center"/>
              <w:rPr/>
            </w:pPr>
            <w:r>
              <w:rPr/>
              <w:t xml:space="preserve">June 30, 2026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501" w:type="dxa"/>
            <w:tcBorders/>
            <w:shd w:fill="000000" w:val="clear"/>
            <w:tcMar>
              <w:bottom w:w="0" w:type="dxa"/>
            </w:tcMar>
            <w:vAlign w:val="center"/>
          </w:tcPr>
          <w:p>
            <w:pPr>
              <w:pStyle w:val="TableContents"/>
              <w:bidi w:val="0"/>
              <w:spacing w:before="0" w:after="0"/>
              <w:jc w:val="center"/>
              <w:rPr/>
            </w:pPr>
            <w:r>
              <w:rPr/>
              <w:t xml:space="preserve">June 30, 2025 </w:t>
            </w:r>
          </w:p>
        </w:tc>
        <w:tc>
          <w:tcPr>
            <w:tcW w:w="154" w:type="dxa"/>
            <w:tcBorders/>
            <w:shd w:fill="000000"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131" w:type="dxa"/>
            <w:tcBorders>
              <w:bottom w:val="single" w:sz="2" w:space="0" w:color="666666"/>
            </w:tcBorders>
            <w:tcMar>
              <w:bottom w:w="88" w:type="dxa"/>
            </w:tcMar>
            <w:vAlign w:val="center"/>
          </w:tcPr>
          <w:p>
            <w:pPr>
              <w:pStyle w:val="TableContents"/>
              <w:bidi w:val="0"/>
              <w:spacing w:before="0" w:after="283"/>
              <w:jc w:val="left"/>
              <w:rPr>
                <w:spacing w:val="0"/>
              </w:rPr>
            </w:pPr>
            <w:r>
              <w:rPr>
                <w:spacing w:val="0"/>
              </w:rPr>
              <w:t xml:space="preserve">Net earnings on GAAP basis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01" w:type="dxa"/>
            <w:tcBorders>
              <w:bottom w:val="single" w:sz="2" w:space="0" w:color="666666"/>
            </w:tcBorders>
            <w:tcMar>
              <w:bottom w:w="88" w:type="dxa"/>
            </w:tcMar>
            <w:vAlign w:val="center"/>
          </w:tcPr>
          <w:p>
            <w:pPr>
              <w:pStyle w:val="TableContents"/>
              <w:bidi w:val="0"/>
              <w:spacing w:before="0" w:after="0"/>
              <w:jc w:val="center"/>
              <w:rPr>
                <w:spacing w:val="-2"/>
              </w:rPr>
            </w:pPr>
            <w:r>
              <w:rPr>
                <w:spacing w:val="-2"/>
              </w:rPr>
              <w:t xml:space="preserve">$786.9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01" w:type="dxa"/>
            <w:tcBorders>
              <w:bottom w:val="single" w:sz="2" w:space="0" w:color="666666"/>
            </w:tcBorders>
            <w:tcMar>
              <w:bottom w:w="88" w:type="dxa"/>
            </w:tcMar>
            <w:vAlign w:val="center"/>
          </w:tcPr>
          <w:p>
            <w:pPr>
              <w:pStyle w:val="TableContents"/>
              <w:bidi w:val="0"/>
              <w:spacing w:before="0" w:after="0"/>
              <w:jc w:val="center"/>
              <w:rPr>
                <w:spacing w:val="-2"/>
              </w:rPr>
            </w:pPr>
            <w:r>
              <w:rPr>
                <w:spacing w:val="-2"/>
              </w:rPr>
              <w:t xml:space="preserve">$30.1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131" w:type="dxa"/>
            <w:tcBorders>
              <w:bottom w:val="single" w:sz="2" w:space="0" w:color="666666"/>
            </w:tcBorders>
            <w:tcMar>
              <w:bottom w:w="88" w:type="dxa"/>
            </w:tcMar>
            <w:vAlign w:val="center"/>
          </w:tcPr>
          <w:p>
            <w:pPr>
              <w:pStyle w:val="TableContents"/>
              <w:bidi w:val="0"/>
              <w:spacing w:before="0" w:after="0"/>
              <w:ind w:left="185" w:right="0" w:hanging="0"/>
              <w:jc w:val="left"/>
              <w:rPr>
                <w:spacing w:val="-1"/>
              </w:rPr>
            </w:pPr>
            <w:r>
              <w:rPr>
                <w:spacing w:val="-1"/>
              </w:rPr>
              <w:t xml:space="preserve">Income taxes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0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60.8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0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64.1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131" w:type="dxa"/>
            <w:tcBorders>
              <w:bottom w:val="single" w:sz="2" w:space="0" w:color="666666"/>
            </w:tcBorders>
            <w:tcMar>
              <w:bottom w:w="88" w:type="dxa"/>
            </w:tcMar>
            <w:vAlign w:val="center"/>
          </w:tcPr>
          <w:p>
            <w:pPr>
              <w:pStyle w:val="TableContents"/>
              <w:bidi w:val="0"/>
              <w:spacing w:before="0" w:after="0"/>
              <w:ind w:left="185" w:right="0" w:hanging="0"/>
              <w:jc w:val="left"/>
              <w:rPr>
                <w:spacing w:val="-1"/>
              </w:rPr>
            </w:pPr>
            <w:r>
              <w:rPr>
                <w:spacing w:val="-1"/>
              </w:rPr>
              <w:t xml:space="preserve">Depreciation and amortization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0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521.9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0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553.6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131" w:type="dxa"/>
            <w:tcBorders>
              <w:bottom w:val="single" w:sz="2" w:space="0" w:color="666666"/>
            </w:tcBorders>
            <w:tcMar>
              <w:bottom w:w="88" w:type="dxa"/>
            </w:tcMar>
            <w:vAlign w:val="center"/>
          </w:tcPr>
          <w:p>
            <w:pPr>
              <w:pStyle w:val="TableContents"/>
              <w:bidi w:val="0"/>
              <w:spacing w:before="0" w:after="0"/>
              <w:ind w:left="185" w:right="0" w:hanging="0"/>
              <w:jc w:val="left"/>
              <w:rPr>
                <w:spacing w:val="-1"/>
              </w:rPr>
            </w:pPr>
            <w:r>
              <w:rPr>
                <w:spacing w:val="-1"/>
              </w:rPr>
              <w:t xml:space="preserve">Interest expense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0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190.3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0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243.3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131" w:type="dxa"/>
            <w:tcBorders>
              <w:bottom w:val="single" w:sz="2" w:space="0" w:color="666666"/>
            </w:tcBorders>
            <w:tcMar>
              <w:bottom w:w="88" w:type="dxa"/>
            </w:tcMar>
            <w:vAlign w:val="center"/>
          </w:tcPr>
          <w:p>
            <w:pPr>
              <w:pStyle w:val="TableContents"/>
              <w:bidi w:val="0"/>
              <w:spacing w:before="0" w:after="0"/>
              <w:ind w:left="185" w:right="0" w:hanging="0"/>
              <w:jc w:val="left"/>
              <w:rPr>
                <w:spacing w:val="-1"/>
              </w:rPr>
            </w:pPr>
            <w:r>
              <w:rPr>
                <w:spacing w:val="-1"/>
              </w:rPr>
              <w:t xml:space="preserve">Interest income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0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(49.2)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0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(44.9)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131" w:type="dxa"/>
            <w:tcBorders>
              <w:bottom w:val="single" w:sz="2" w:space="0" w:color="666666"/>
            </w:tcBorders>
            <w:tcMar>
              <w:bottom w:w="88" w:type="dxa"/>
            </w:tcMar>
            <w:vAlign w:val="center"/>
          </w:tcPr>
          <w:p>
            <w:pPr>
              <w:pStyle w:val="TableContents"/>
              <w:bidi w:val="0"/>
              <w:spacing w:before="0" w:after="283"/>
              <w:jc w:val="left"/>
              <w:rPr/>
            </w:pPr>
            <w:r>
              <w:rPr>
                <w:spacing w:val="-2"/>
              </w:rPr>
              <w:t>EBITDA</w:t>
            </w:r>
            <w:r>
              <w:rPr>
                <w:spacing w:val="-2"/>
                <w:sz w:val="12"/>
              </w:rPr>
              <w:t>1</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01" w:type="dxa"/>
            <w:tcBorders>
              <w:bottom w:val="single" w:sz="2" w:space="0" w:color="666666"/>
            </w:tcBorders>
            <w:tcMar>
              <w:bottom w:w="88" w:type="dxa"/>
            </w:tcMar>
            <w:vAlign w:val="center"/>
          </w:tcPr>
          <w:p>
            <w:pPr>
              <w:pStyle w:val="TableContents"/>
              <w:bidi w:val="0"/>
              <w:spacing w:before="0" w:after="0"/>
              <w:jc w:val="center"/>
              <w:rPr>
                <w:spacing w:val="-2"/>
              </w:rPr>
            </w:pPr>
            <w:r>
              <w:rPr>
                <w:spacing w:val="-2"/>
              </w:rPr>
              <w:t xml:space="preserve">$1,510.7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01" w:type="dxa"/>
            <w:tcBorders>
              <w:bottom w:val="single" w:sz="2" w:space="0" w:color="666666"/>
            </w:tcBorders>
            <w:tcMar>
              <w:bottom w:w="88" w:type="dxa"/>
            </w:tcMar>
            <w:vAlign w:val="center"/>
          </w:tcPr>
          <w:p>
            <w:pPr>
              <w:pStyle w:val="TableContents"/>
              <w:bidi w:val="0"/>
              <w:spacing w:before="0" w:after="0"/>
              <w:jc w:val="center"/>
              <w:rPr>
                <w:spacing w:val="-2"/>
              </w:rPr>
            </w:pPr>
            <w:r>
              <w:rPr>
                <w:spacing w:val="-2"/>
              </w:rPr>
              <w:t xml:space="preserve">$846.2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131" w:type="dxa"/>
            <w:tcBorders>
              <w:bottom w:val="single" w:sz="2" w:space="0" w:color="666666"/>
            </w:tcBorders>
            <w:tcMar>
              <w:bottom w:w="88" w:type="dxa"/>
            </w:tcMar>
            <w:vAlign w:val="center"/>
          </w:tcPr>
          <w:p>
            <w:pPr>
              <w:pStyle w:val="TableContents"/>
              <w:bidi w:val="0"/>
              <w:spacing w:before="0" w:after="0"/>
              <w:ind w:left="185" w:right="0" w:hanging="0"/>
              <w:jc w:val="left"/>
              <w:rPr>
                <w:i/>
              </w:rPr>
            </w:pPr>
            <w:r>
              <w:rPr>
                <w:i/>
              </w:rPr>
              <w:t>EBITDA margin</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0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21.2%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0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14.6%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131" w:type="dxa"/>
            <w:tcBorders>
              <w:bottom w:val="single" w:sz="2" w:space="0" w:color="666666"/>
            </w:tcBorders>
            <w:tcMar>
              <w:bottom w:w="88" w:type="dxa"/>
            </w:tcMar>
            <w:vAlign w:val="center"/>
          </w:tcPr>
          <w:p>
            <w:pPr>
              <w:pStyle w:val="TableContents"/>
              <w:bidi w:val="0"/>
              <w:spacing w:before="0" w:after="0"/>
              <w:ind w:left="185" w:right="0" w:hanging="0"/>
              <w:jc w:val="left"/>
              <w:rPr>
                <w:spacing w:val="-1"/>
              </w:rPr>
            </w:pPr>
            <w:r>
              <w:rPr>
                <w:spacing w:val="-1"/>
              </w:rPr>
              <w:t xml:space="preserve">Share-based compensation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0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193.8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0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161.0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131" w:type="dxa"/>
            <w:tcBorders>
              <w:bottom w:val="single" w:sz="2" w:space="0" w:color="666666"/>
            </w:tcBorders>
            <w:tcMar>
              <w:bottom w:w="88" w:type="dxa"/>
            </w:tcMar>
            <w:vAlign w:val="center"/>
          </w:tcPr>
          <w:p>
            <w:pPr>
              <w:pStyle w:val="TableContents"/>
              <w:bidi w:val="0"/>
              <w:spacing w:before="0" w:after="0"/>
              <w:ind w:left="185" w:right="0" w:hanging="0"/>
              <w:jc w:val="left"/>
              <w:rPr>
                <w:spacing w:val="-1"/>
              </w:rPr>
            </w:pPr>
            <w:r>
              <w:rPr>
                <w:spacing w:val="-1"/>
              </w:rPr>
              <w:t xml:space="preserve">Foreign currency exchange (gains) losses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0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(6.1)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0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28.4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131" w:type="dxa"/>
            <w:tcBorders>
              <w:bottom w:val="single" w:sz="2" w:space="0" w:color="666666"/>
            </w:tcBorders>
            <w:tcMar>
              <w:bottom w:w="88" w:type="dxa"/>
            </w:tcMar>
            <w:vAlign w:val="center"/>
          </w:tcPr>
          <w:p>
            <w:pPr>
              <w:pStyle w:val="TableContents"/>
              <w:bidi w:val="0"/>
              <w:spacing w:before="0" w:after="0"/>
              <w:ind w:left="185" w:right="0" w:hanging="0"/>
              <w:jc w:val="left"/>
              <w:rPr/>
            </w:pPr>
            <w:r>
              <w:rPr>
                <w:spacing w:val="-1"/>
              </w:rPr>
              <w:t>Impairment charges on assets held-for-sale</w:t>
            </w:r>
            <w:r>
              <w:rPr>
                <w:spacing w:val="-1"/>
                <w:sz w:val="12"/>
              </w:rPr>
              <w:t>6</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0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64.4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0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85.0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131" w:type="dxa"/>
            <w:tcBorders>
              <w:bottom w:val="single" w:sz="2" w:space="0" w:color="666666"/>
            </w:tcBorders>
            <w:tcMar>
              <w:bottom w:w="88" w:type="dxa"/>
            </w:tcMar>
            <w:vAlign w:val="center"/>
          </w:tcPr>
          <w:p>
            <w:pPr>
              <w:pStyle w:val="TableContents"/>
              <w:bidi w:val="0"/>
              <w:spacing w:before="0" w:after="0"/>
              <w:ind w:left="185" w:right="0" w:hanging="0"/>
              <w:jc w:val="left"/>
              <w:rPr/>
            </w:pPr>
            <w:r>
              <w:rPr>
                <w:spacing w:val="-1"/>
              </w:rPr>
              <w:t>Restructuring charges</w:t>
            </w:r>
            <w:r>
              <w:rPr>
                <w:spacing w:val="-1"/>
                <w:sz w:val="12"/>
              </w:rPr>
              <w:t>3</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0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63.4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0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160.1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131" w:type="dxa"/>
            <w:tcBorders>
              <w:bottom w:val="single" w:sz="2" w:space="0" w:color="666666"/>
            </w:tcBorders>
            <w:tcMar>
              <w:bottom w:w="88" w:type="dxa"/>
            </w:tcMar>
            <w:vAlign w:val="center"/>
          </w:tcPr>
          <w:p>
            <w:pPr>
              <w:pStyle w:val="TableContents"/>
              <w:bidi w:val="0"/>
              <w:spacing w:before="0" w:after="0"/>
              <w:ind w:left="185" w:right="0" w:hanging="0"/>
              <w:jc w:val="left"/>
              <w:rPr/>
            </w:pPr>
            <w:r>
              <w:rPr>
                <w:spacing w:val="-1"/>
              </w:rPr>
              <w:t>Transaction fees and financing</w:t>
            </w:r>
            <w:r>
              <w:rPr>
                <w:spacing w:val="-1"/>
                <w:sz w:val="12"/>
              </w:rPr>
              <w:t>5</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0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(60.8)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01"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131" w:type="dxa"/>
            <w:tcBorders>
              <w:bottom w:val="single" w:sz="2" w:space="0" w:color="666666"/>
            </w:tcBorders>
            <w:tcMar>
              <w:bottom w:w="88" w:type="dxa"/>
            </w:tcMar>
            <w:vAlign w:val="center"/>
          </w:tcPr>
          <w:p>
            <w:pPr>
              <w:pStyle w:val="TableContents"/>
              <w:bidi w:val="0"/>
              <w:spacing w:before="0" w:after="0"/>
              <w:ind w:left="185" w:right="0" w:hanging="0"/>
              <w:jc w:val="left"/>
              <w:rPr/>
            </w:pPr>
            <w:r>
              <w:rPr>
                <w:spacing w:val="-1"/>
              </w:rPr>
              <w:t>Integration, site consolidation and other</w:t>
            </w:r>
            <w:r>
              <w:rPr>
                <w:spacing w:val="-1"/>
                <w:sz w:val="12"/>
              </w:rPr>
              <w:t>4</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0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80.2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0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38.2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131" w:type="dxa"/>
            <w:tcBorders>
              <w:bottom w:val="single" w:sz="2" w:space="0" w:color="666666"/>
            </w:tcBorders>
            <w:tcMar>
              <w:bottom w:w="88" w:type="dxa"/>
            </w:tcMar>
            <w:vAlign w:val="center"/>
          </w:tcPr>
          <w:p>
            <w:pPr>
              <w:pStyle w:val="TableContents"/>
              <w:bidi w:val="0"/>
              <w:spacing w:before="0" w:after="0"/>
              <w:ind w:left="185" w:right="0" w:hanging="0"/>
              <w:jc w:val="left"/>
              <w:rPr/>
            </w:pPr>
            <w:r>
              <w:rPr>
                <w:spacing w:val="-1"/>
              </w:rPr>
              <w:t>Gain on sale of business</w:t>
            </w:r>
            <w:r>
              <w:rPr>
                <w:spacing w:val="-1"/>
                <w:sz w:val="12"/>
              </w:rPr>
              <w:t>7</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0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(124.1)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01"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131" w:type="dxa"/>
            <w:tcBorders>
              <w:bottom w:val="single" w:sz="2" w:space="0" w:color="666666"/>
            </w:tcBorders>
            <w:tcMar>
              <w:bottom w:w="88" w:type="dxa"/>
            </w:tcMar>
            <w:vAlign w:val="center"/>
          </w:tcPr>
          <w:p>
            <w:pPr>
              <w:pStyle w:val="TableContents"/>
              <w:bidi w:val="0"/>
              <w:spacing w:before="0" w:after="283"/>
              <w:jc w:val="left"/>
              <w:rPr/>
            </w:pPr>
            <w:r>
              <w:rPr>
                <w:spacing w:val="0"/>
              </w:rPr>
              <w:t>Adjusted EBITDA</w:t>
            </w:r>
            <w:r>
              <w:rPr>
                <w:spacing w:val="-2"/>
                <w:sz w:val="12"/>
              </w:rPr>
              <w:t>2</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01" w:type="dxa"/>
            <w:tcBorders>
              <w:bottom w:val="single" w:sz="2" w:space="0" w:color="666666"/>
            </w:tcBorders>
            <w:tcMar>
              <w:bottom w:w="88" w:type="dxa"/>
            </w:tcMar>
            <w:vAlign w:val="center"/>
          </w:tcPr>
          <w:p>
            <w:pPr>
              <w:pStyle w:val="TableContents"/>
              <w:bidi w:val="0"/>
              <w:spacing w:before="0" w:after="0"/>
              <w:jc w:val="center"/>
              <w:rPr>
                <w:spacing w:val="-2"/>
              </w:rPr>
            </w:pPr>
            <w:r>
              <w:rPr>
                <w:spacing w:val="-2"/>
              </w:rPr>
              <w:t xml:space="preserve">$1,721.5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501" w:type="dxa"/>
            <w:tcBorders>
              <w:bottom w:val="single" w:sz="2" w:space="0" w:color="666666"/>
            </w:tcBorders>
            <w:tcMar>
              <w:bottom w:w="88" w:type="dxa"/>
            </w:tcMar>
            <w:vAlign w:val="center"/>
          </w:tcPr>
          <w:p>
            <w:pPr>
              <w:pStyle w:val="TableContents"/>
              <w:bidi w:val="0"/>
              <w:spacing w:before="0" w:after="0"/>
              <w:jc w:val="center"/>
              <w:rPr/>
            </w:pPr>
            <w:r>
              <w:rPr>
                <w:spacing w:val="-2"/>
              </w:rPr>
              <w:t>$1,318.9</w:t>
            </w:r>
            <w:r>
              <w:rPr/>
              <w:t xml:space="preserve"> </w:t>
            </w:r>
          </w:p>
        </w:tc>
        <w:tc>
          <w:tcPr>
            <w:tcW w:w="154" w:type="dxa"/>
            <w:tcBorders>
              <w:bottom w:val="single" w:sz="2" w:space="0" w:color="666666"/>
            </w:tcBorders>
            <w:vAlign w:val="center"/>
          </w:tcPr>
          <w:p>
            <w:pPr>
              <w:pStyle w:val="TableContents"/>
              <w:bidi w:val="0"/>
              <w:spacing w:before="0" w:after="283"/>
              <w:jc w:val="left"/>
              <w:rPr/>
            </w:pPr>
            <w:r>
              <w:rPr/>
              <w:t>​</w:t>
            </w:r>
          </w:p>
        </w:tc>
      </w:tr>
    </w:tbl>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20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Amounts may not recalculate due to rounding.</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127000" distB="0" distL="0" distR="0" simplePos="0" locked="0" layoutInCell="1" allowOverlap="1" relativeHeight="431">
                <wp:simplePos x="0" y="0"/>
                <wp:positionH relativeFrom="column">
                  <wp:align>left</wp:align>
                </wp:positionH>
                <wp:positionV relativeFrom="line">
                  <wp:align>top</wp:align>
                </wp:positionV>
                <wp:extent cx="203200" cy="204470"/>
                <wp:effectExtent l="0" t="0" r="0" b="0"/>
                <wp:wrapSquare wrapText="right"/>
                <wp:docPr id="448" name="Frame221"/>
                <a:graphic xmlns:a="http://schemas.openxmlformats.org/drawingml/2006/main">
                  <a:graphicData uri="http://schemas.microsoft.com/office/word/2010/wordprocessingShape">
                    <wps:wsp>
                      <wps:cNvSpPr txBox="1"/>
                      <wps:spPr>
                        <a:xfrm>
                          <a:off x="0" y="0"/>
                          <a:ext cx="203200" cy="204470"/>
                        </a:xfrm>
                        <a:prstGeom prst="rect"/>
                        <a:solidFill>
                          <a:srgbClr val="FFFFFF"/>
                        </a:solidFill>
                      </wps:spPr>
                      <wps:txbx>
                        <w:txbxContent>
                          <w:p>
                            <w:pPr>
                              <w:pStyle w:val="TextBody"/>
                              <w:bidi w:val="0"/>
                              <w:spacing w:before="0" w:after="283"/>
                              <w:jc w:val="left"/>
                              <w:rPr>
                                <w:sz w:val="14"/>
                              </w:rPr>
                            </w:pPr>
                            <w:r>
                              <w:rPr>
                                <w:spacing w:val="-1"/>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16pt;height:16.1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before="0" w:after="283"/>
                        <w:jc w:val="left"/>
                        <w:rPr>
                          <w:sz w:val="14"/>
                        </w:rPr>
                      </w:pPr>
                      <w:r>
                        <w:rPr>
                          <w:spacing w:val="-1"/>
                          <w:sz w:val="14"/>
                        </w:rPr>
                        <w:t>*</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EBITDA is defined as earnings before interest expense, interest income, income taxes, depreciation and amortization.</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50800" distB="0" distL="0" distR="0" simplePos="0" locked="0" layoutInCell="1" allowOverlap="1" relativeHeight="432">
                <wp:simplePos x="0" y="0"/>
                <wp:positionH relativeFrom="column">
                  <wp:align>left</wp:align>
                </wp:positionH>
                <wp:positionV relativeFrom="line">
                  <wp:align>top</wp:align>
                </wp:positionV>
                <wp:extent cx="203200" cy="228600"/>
                <wp:effectExtent l="0" t="0" r="0" b="0"/>
                <wp:wrapSquare wrapText="right"/>
                <wp:docPr id="449" name="Frame222"/>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Adjusted EBITDA excludes non-GAAP adjustments for share-based compensation, certain restructuring, integration, and transaction expenses, gain on sale of business, impairment of assets held for sale, and the impact of foreign currency exchange gains and losses.</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50800" distB="0" distL="0" distR="0" simplePos="0" locked="0" layoutInCell="1" allowOverlap="1" relativeHeight="433">
                <wp:simplePos x="0" y="0"/>
                <wp:positionH relativeFrom="column">
                  <wp:align>left</wp:align>
                </wp:positionH>
                <wp:positionV relativeFrom="line">
                  <wp:align>top</wp:align>
                </wp:positionV>
                <wp:extent cx="203200" cy="228600"/>
                <wp:effectExtent l="0" t="0" r="0" b="0"/>
                <wp:wrapSquare wrapText="right"/>
                <wp:docPr id="450" name="Frame223"/>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2.</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2.</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Restructuring charges include non-cash impairment charges for production assets and improvements on leased facilities, loss on sale of a facility, severance, contract termination costs and other costs related to the restructuring plans.</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50800" distB="0" distL="0" distR="0" simplePos="0" locked="0" layoutInCell="1" allowOverlap="1" relativeHeight="434">
                <wp:simplePos x="0" y="0"/>
                <wp:positionH relativeFrom="column">
                  <wp:align>left</wp:align>
                </wp:positionH>
                <wp:positionV relativeFrom="line">
                  <wp:align>top</wp:align>
                </wp:positionV>
                <wp:extent cx="203200" cy="228600"/>
                <wp:effectExtent l="0" t="0" r="0" b="0"/>
                <wp:wrapSquare wrapText="right"/>
                <wp:docPr id="451" name="Frame224"/>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3.</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3.</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Integration, site consolidation and other costs include retention and severance payments and other integration costs related to the acquisition of Coherent, Inc., implementation of common technology systems and costs related to business divestitures.</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50800" distB="0" distL="0" distR="0" simplePos="0" locked="0" layoutInCell="1" allowOverlap="1" relativeHeight="435">
                <wp:simplePos x="0" y="0"/>
                <wp:positionH relativeFrom="column">
                  <wp:align>left</wp:align>
                </wp:positionH>
                <wp:positionV relativeFrom="line">
                  <wp:align>top</wp:align>
                </wp:positionV>
                <wp:extent cx="203200" cy="228600"/>
                <wp:effectExtent l="0" t="0" r="0" b="0"/>
                <wp:wrapSquare wrapText="right"/>
                <wp:docPr id="452" name="Frame225"/>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4.</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4.</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Transaction fees and financing include debt extinguishment costs and various fees related to closing the new Credit Agreement and repricing our Term Loan B as well as the conversion of Preferred Stock to Common Stock.</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50800" distB="0" distL="0" distR="0" simplePos="0" locked="0" layoutInCell="1" allowOverlap="1" relativeHeight="436">
                <wp:simplePos x="0" y="0"/>
                <wp:positionH relativeFrom="column">
                  <wp:align>left</wp:align>
                </wp:positionH>
                <wp:positionV relativeFrom="line">
                  <wp:align>top</wp:align>
                </wp:positionV>
                <wp:extent cx="203200" cy="228600"/>
                <wp:effectExtent l="0" t="0" r="0" b="0"/>
                <wp:wrapSquare wrapText="right"/>
                <wp:docPr id="453" name="Frame226"/>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5.</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5.</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Impairment charges on assets held-for-sale relate to several entities classified as held for sale at June 30, 2026, December 31, 2025, September 30, 2025 and/or June 30, 2025.</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50800" distB="0" distL="0" distR="0" simplePos="0" locked="0" layoutInCell="1" allowOverlap="1" relativeHeight="437">
                <wp:simplePos x="0" y="0"/>
                <wp:positionH relativeFrom="column">
                  <wp:align>left</wp:align>
                </wp:positionH>
                <wp:positionV relativeFrom="line">
                  <wp:align>top</wp:align>
                </wp:positionV>
                <wp:extent cx="203200" cy="228600"/>
                <wp:effectExtent l="0" t="0" r="0" b="0"/>
                <wp:wrapSquare wrapText="right"/>
                <wp:docPr id="454" name="Frame227"/>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6.</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6.</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213" w:right="40" w:hanging="0"/>
        <w:jc w:val="left"/>
        <w:rPr>
          <w:rFonts w:ascii="Arial;Helvetica;sans-serif" w:hAnsi="Arial;Helvetica;sans-serif"/>
          <w:b w:val="false"/>
          <w:i w:val="false"/>
          <w:caps w:val="false"/>
          <w:smallCaps w:val="false"/>
          <w:color w:val="000000"/>
          <w:spacing w:val="-1"/>
          <w:sz w:val="14"/>
          <w:shd w:fill="FFFFFF" w:val="clear"/>
        </w:rPr>
      </w:pPr>
      <w:r>
        <w:rPr>
          <w:rFonts w:ascii="Arial;Helvetica;sans-serif" w:hAnsi="Arial;Helvetica;sans-serif"/>
          <w:b w:val="false"/>
          <w:i w:val="false"/>
          <w:caps w:val="false"/>
          <w:smallCaps w:val="false"/>
          <w:color w:val="000000"/>
          <w:spacing w:val="-1"/>
          <w:sz w:val="14"/>
          <w:shd w:fill="FFFFFF" w:val="clear"/>
        </w:rPr>
        <w:t xml:space="preserve">Gain on sale of business is due to the sale of our aerospace and defense and Munich tools businesses. </w:t>
      </w:r>
      <w:r>
        <mc:AlternateContent>
          <mc:Choice Requires="wps">
            <w:drawing>
              <wp:anchor behindDoc="0" distT="50800" distB="0" distL="0" distR="0" simplePos="0" locked="0" layoutInCell="1" allowOverlap="1" relativeHeight="438">
                <wp:simplePos x="0" y="0"/>
                <wp:positionH relativeFrom="column">
                  <wp:align>left</wp:align>
                </wp:positionH>
                <wp:positionV relativeFrom="line">
                  <wp:align>top</wp:align>
                </wp:positionV>
                <wp:extent cx="203200" cy="228600"/>
                <wp:effectExtent l="0" t="0" r="0" b="0"/>
                <wp:wrapSquare wrapText="right"/>
                <wp:docPr id="455" name="Frame228"/>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7.</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7.</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91</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440" w:before="120" w:after="283"/>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RECONCILIATION OF GAAP MEASURES TO NON-GAAP MEASURES*</w:t>
      </w:r>
      <w:r>
        <w:rPr>
          <w:rFonts w:ascii="Tahoma;Geneva;sans-serif" w:hAnsi="Tahoma;Geneva;sans-serif"/>
          <w:b/>
          <w:i w:val="false"/>
          <w:caps w:val="false"/>
          <w:smallCaps w:val="false"/>
          <w:color w:val="000000"/>
          <w:spacing w:val="8"/>
          <w:sz w:val="40"/>
          <w:shd w:fill="FFFFFF" w:val="clear"/>
        </w:rPr>
        <w:t xml:space="preserve"> </w:t>
      </w:r>
    </w:p>
    <w:tbl>
      <w:tblPr>
        <w:tblW w:w="8189" w:type="dxa"/>
        <w:jc w:val="left"/>
        <w:tblInd w:w="893" w:type="dxa"/>
        <w:tblLayout w:type="fixed"/>
        <w:tblCellMar>
          <w:top w:w="0" w:type="dxa"/>
          <w:left w:w="0" w:type="dxa"/>
          <w:bottom w:w="28" w:type="dxa"/>
          <w:right w:w="0" w:type="dxa"/>
        </w:tblCellMar>
      </w:tblPr>
      <w:tblGrid>
        <w:gridCol w:w="124"/>
        <w:gridCol w:w="5491"/>
        <w:gridCol w:w="109"/>
        <w:gridCol w:w="109"/>
        <w:gridCol w:w="992"/>
        <w:gridCol w:w="109"/>
        <w:gridCol w:w="109"/>
        <w:gridCol w:w="992"/>
        <w:gridCol w:w="154"/>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5491"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2202" w:type="dxa"/>
            <w:gridSpan w:val="4"/>
            <w:tcBorders>
              <w:bottom w:val="single" w:sz="2" w:space="0" w:color="FFFFFF"/>
            </w:tcBorders>
            <w:shd w:fill="000000" w:val="clear"/>
            <w:tcMar>
              <w:bottom w:w="50" w:type="dxa"/>
            </w:tcMar>
            <w:vAlign w:val="center"/>
          </w:tcPr>
          <w:p>
            <w:pPr>
              <w:pStyle w:val="TableContents"/>
              <w:bidi w:val="0"/>
              <w:spacing w:before="0" w:after="0"/>
              <w:jc w:val="center"/>
              <w:rPr/>
            </w:pPr>
            <w:r>
              <w:rPr/>
              <w:t xml:space="preserve">Year Ended </w:t>
            </w:r>
          </w:p>
        </w:tc>
        <w:tc>
          <w:tcPr>
            <w:tcW w:w="154" w:type="dxa"/>
            <w:tcBorders>
              <w:bottom w:val="single" w:sz="2" w:space="0" w:color="000000"/>
            </w:tcBorders>
            <w:shd w:fill="000000" w:val="clear"/>
            <w:vAlign w:val="center"/>
          </w:tcPr>
          <w:p>
            <w:pPr>
              <w:pStyle w:val="TableContents"/>
              <w:bidi w:val="0"/>
              <w:spacing w:before="0" w:after="283"/>
              <w:jc w:val="left"/>
              <w:rPr/>
            </w:pPr>
            <w:r>
              <w:rPr/>
              <w:t>​</w:t>
            </w:r>
          </w:p>
        </w:tc>
      </w:tr>
      <w:tr>
        <w:trPr/>
        <w:tc>
          <w:tcPr>
            <w:tcW w:w="124" w:type="dxa"/>
            <w:tcBorders/>
            <w:shd w:fill="000000" w:val="clear"/>
            <w:tcMar>
              <w:bottom w:w="0" w:type="dxa"/>
            </w:tcMar>
            <w:vAlign w:val="center"/>
          </w:tcPr>
          <w:p>
            <w:pPr>
              <w:pStyle w:val="TableContents"/>
              <w:bidi w:val="0"/>
              <w:spacing w:before="0" w:after="283"/>
              <w:jc w:val="left"/>
              <w:rPr/>
            </w:pPr>
            <w:r>
              <w:rPr/>
              <w:t>​</w:t>
            </w:r>
          </w:p>
        </w:tc>
        <w:tc>
          <w:tcPr>
            <w:tcW w:w="5491" w:type="dxa"/>
            <w:tcBorders/>
            <w:shd w:fill="000000" w:val="clear"/>
            <w:tcMar>
              <w:bottom w:w="0" w:type="dxa"/>
            </w:tcMar>
            <w:vAlign w:val="center"/>
          </w:tcPr>
          <w:p>
            <w:pPr>
              <w:pStyle w:val="TableContents"/>
              <w:bidi w:val="0"/>
              <w:spacing w:before="0" w:after="0"/>
              <w:jc w:val="left"/>
              <w:rPr/>
            </w:pPr>
            <w:r>
              <w:rPr/>
              <w:t xml:space="preserve">$ Millions, except per share amounts (unaudited)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992" w:type="dxa"/>
            <w:tcBorders/>
            <w:shd w:fill="000000" w:val="clear"/>
            <w:tcMar>
              <w:bottom w:w="0" w:type="dxa"/>
            </w:tcMar>
            <w:vAlign w:val="center"/>
          </w:tcPr>
          <w:p>
            <w:pPr>
              <w:pStyle w:val="TableContents"/>
              <w:bidi w:val="0"/>
              <w:spacing w:before="0" w:after="0"/>
              <w:jc w:val="center"/>
              <w:rPr/>
            </w:pPr>
            <w:r>
              <w:rPr/>
              <w:t xml:space="preserve">June 30, </w:t>
              <w:br/>
              <w:t xml:space="preserve">2026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992" w:type="dxa"/>
            <w:tcBorders/>
            <w:shd w:fill="000000" w:val="clear"/>
            <w:tcMar>
              <w:bottom w:w="0" w:type="dxa"/>
            </w:tcMar>
            <w:vAlign w:val="center"/>
          </w:tcPr>
          <w:p>
            <w:pPr>
              <w:pStyle w:val="TableContents"/>
              <w:bidi w:val="0"/>
              <w:spacing w:lineRule="atLeast" w:line="142" w:before="0" w:after="0"/>
              <w:jc w:val="center"/>
              <w:rPr/>
            </w:pPr>
            <w:r>
              <w:rPr/>
              <w:t xml:space="preserve">June 30, </w:t>
              <w:br/>
              <w:t>2025</w:t>
            </w:r>
            <w:r>
              <w:rPr>
                <w:sz w:val="10"/>
              </w:rPr>
              <w:t>1</w:t>
            </w:r>
          </w:p>
        </w:tc>
        <w:tc>
          <w:tcPr>
            <w:tcW w:w="154" w:type="dxa"/>
            <w:tcBorders/>
            <w:shd w:fill="000000"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283"/>
              <w:jc w:val="left"/>
              <w:rPr/>
            </w:pPr>
            <w:r>
              <w:rPr>
                <w:spacing w:val="0"/>
              </w:rPr>
              <w:t>Gross margin on GAAP basis</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2"/>
              </w:rPr>
            </w:pPr>
            <w:r>
              <w:rPr>
                <w:spacing w:val="-2"/>
              </w:rPr>
              <w:t xml:space="preserve">$2,669.0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2"/>
              </w:rPr>
            </w:pPr>
            <w:r>
              <w:rPr>
                <w:spacing w:val="-2"/>
              </w:rPr>
              <w:t xml:space="preserve">$2,043.3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0"/>
              <w:ind w:left="185" w:right="0" w:hanging="0"/>
              <w:jc w:val="left"/>
              <w:rPr>
                <w:spacing w:val="-1"/>
              </w:rPr>
            </w:pPr>
            <w:r>
              <w:rPr>
                <w:spacing w:val="-1"/>
              </w:rPr>
              <w:t xml:space="preserve">Share-based compensation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26.0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22.5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0"/>
              <w:ind w:left="185" w:right="0" w:hanging="0"/>
              <w:jc w:val="left"/>
              <w:rPr>
                <w:spacing w:val="-1"/>
              </w:rPr>
            </w:pPr>
            <w:r>
              <w:rPr>
                <w:spacing w:val="-1"/>
              </w:rPr>
              <w:t xml:space="preserve">Amortization of acquired intangibles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111.2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135.1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0"/>
              <w:ind w:left="185" w:right="0" w:hanging="0"/>
              <w:jc w:val="left"/>
              <w:rPr/>
            </w:pPr>
            <w:r>
              <w:rPr>
                <w:spacing w:val="-1"/>
              </w:rPr>
              <w:t>Integration, site consolidation and other</w:t>
            </w:r>
            <w:r>
              <w:rPr>
                <w:spacing w:val="-1"/>
                <w:sz w:val="12"/>
              </w:rPr>
              <w:t>2</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0.3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1.4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283"/>
              <w:jc w:val="left"/>
              <w:rPr>
                <w:spacing w:val="0"/>
              </w:rPr>
            </w:pPr>
            <w:r>
              <w:rPr>
                <w:spacing w:val="0"/>
              </w:rPr>
              <w:t xml:space="preserve">Gross margin on non-GAAP basis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2"/>
              </w:rPr>
            </w:pPr>
            <w:r>
              <w:rPr>
                <w:spacing w:val="-2"/>
              </w:rPr>
              <w:t xml:space="preserve">$2,806.5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2"/>
              </w:rPr>
            </w:pPr>
            <w:r>
              <w:rPr>
                <w:spacing w:val="-2"/>
              </w:rPr>
              <w:t xml:space="preserve">$2,202.3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283"/>
              <w:jc w:val="left"/>
              <w:rPr>
                <w:spacing w:val="0"/>
              </w:rPr>
            </w:pPr>
            <w:r>
              <w:rPr>
                <w:spacing w:val="0"/>
              </w:rPr>
              <w:t xml:space="preserve">Research and development on GAAP basis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2"/>
              </w:rPr>
            </w:pPr>
            <w:r>
              <w:rPr>
                <w:spacing w:val="-2"/>
              </w:rPr>
              <w:t xml:space="preserve">$723.0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2"/>
              </w:rPr>
            </w:pPr>
            <w:r>
              <w:rPr>
                <w:spacing w:val="-2"/>
              </w:rPr>
              <w:t xml:space="preserve">$581.9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0"/>
              <w:ind w:left="185" w:right="0" w:hanging="0"/>
              <w:jc w:val="left"/>
              <w:rPr>
                <w:spacing w:val="-1"/>
              </w:rPr>
            </w:pPr>
            <w:r>
              <w:rPr>
                <w:spacing w:val="-1"/>
              </w:rPr>
              <w:t xml:space="preserve">Share-based compensation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(28.9)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(22.2)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0"/>
              <w:ind w:left="185" w:right="0" w:hanging="0"/>
              <w:jc w:val="left"/>
              <w:rPr>
                <w:spacing w:val="-1"/>
              </w:rPr>
            </w:pPr>
            <w:r>
              <w:rPr>
                <w:spacing w:val="-1"/>
              </w:rPr>
              <w:t xml:space="preserve">Amortization of acquired intangibles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(0.8)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(5.3)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0"/>
              <w:ind w:left="185" w:right="0" w:hanging="0"/>
              <w:jc w:val="left"/>
              <w:rPr/>
            </w:pPr>
            <w:r>
              <w:rPr>
                <w:spacing w:val="-1"/>
              </w:rPr>
              <w:t>Integration, site consolidation and other</w:t>
            </w:r>
            <w:r>
              <w:rPr>
                <w:spacing w:val="-1"/>
                <w:sz w:val="12"/>
              </w:rPr>
              <w:t>2</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(0.1)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283"/>
              <w:jc w:val="left"/>
              <w:rPr>
                <w:spacing w:val="0"/>
              </w:rPr>
            </w:pPr>
            <w:r>
              <w:rPr>
                <w:spacing w:val="0"/>
              </w:rPr>
              <w:t xml:space="preserve">Research and development on non-GAAP basis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2"/>
              </w:rPr>
            </w:pPr>
            <w:r>
              <w:rPr>
                <w:spacing w:val="-2"/>
              </w:rPr>
              <w:t xml:space="preserve">$693.3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2"/>
              </w:rPr>
            </w:pPr>
            <w:r>
              <w:rPr>
                <w:spacing w:val="-2"/>
              </w:rPr>
              <w:t xml:space="preserve">$554.3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283"/>
              <w:jc w:val="left"/>
              <w:rPr>
                <w:spacing w:val="0"/>
              </w:rPr>
            </w:pPr>
            <w:r>
              <w:rPr>
                <w:spacing w:val="0"/>
              </w:rPr>
              <w:t xml:space="preserve">Selling, general and administrative on GAAP basis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2"/>
              </w:rPr>
            </w:pPr>
            <w:r>
              <w:rPr>
                <w:spacing w:val="-2"/>
              </w:rPr>
              <w:t xml:space="preserve">$1,044.6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2"/>
              </w:rPr>
            </w:pPr>
            <w:r>
              <w:rPr>
                <w:spacing w:val="-2"/>
              </w:rPr>
              <w:t xml:space="preserve">$926.5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0"/>
              <w:ind w:left="185" w:right="0" w:hanging="0"/>
              <w:jc w:val="left"/>
              <w:rPr>
                <w:spacing w:val="-1"/>
              </w:rPr>
            </w:pPr>
            <w:r>
              <w:rPr>
                <w:spacing w:val="-1"/>
              </w:rPr>
              <w:t xml:space="preserve">Share-based compensation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(138.9)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(116.3)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0"/>
              <w:ind w:left="185" w:right="0" w:hanging="0"/>
              <w:jc w:val="left"/>
              <w:rPr>
                <w:spacing w:val="-1"/>
              </w:rPr>
            </w:pPr>
            <w:r>
              <w:rPr>
                <w:spacing w:val="-1"/>
              </w:rPr>
              <w:t xml:space="preserve">Amortization of acquired intangibles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(168.3)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(162.4)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0"/>
              <w:ind w:left="185" w:right="0" w:hanging="0"/>
              <w:jc w:val="left"/>
              <w:rPr/>
            </w:pPr>
            <w:r>
              <w:rPr>
                <w:spacing w:val="-1"/>
              </w:rPr>
              <w:t>Integration, site consolidation and other</w:t>
            </w:r>
            <w:r>
              <w:rPr>
                <w:spacing w:val="-1"/>
                <w:sz w:val="12"/>
              </w:rPr>
              <w:t>2</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(79.9)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(36.7)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0"/>
              <w:ind w:left="185" w:right="0" w:hanging="0"/>
              <w:jc w:val="left"/>
              <w:rPr/>
            </w:pPr>
            <w:r>
              <w:rPr>
                <w:spacing w:val="-1"/>
              </w:rPr>
              <w:t>Financing fees</w:t>
            </w:r>
            <w:r>
              <w:rPr>
                <w:spacing w:val="-1"/>
                <w:sz w:val="12"/>
              </w:rPr>
              <w:t>3</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(1.1)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pPr>
            <w:r>
              <w:rPr>
                <w:spacing w:val="-1"/>
              </w:rPr>
              <w:t>—</w:t>
            </w:r>
            <w:r>
              <w:rPr/>
              <w:t xml:space="preserve">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283"/>
              <w:jc w:val="left"/>
              <w:rPr>
                <w:spacing w:val="0"/>
              </w:rPr>
            </w:pPr>
            <w:r>
              <w:rPr>
                <w:spacing w:val="0"/>
              </w:rPr>
              <w:t xml:space="preserve">Selling, general and administrative on non-GAAP basis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2"/>
              </w:rPr>
            </w:pPr>
            <w:r>
              <w:rPr>
                <w:spacing w:val="-2"/>
              </w:rPr>
              <w:t xml:space="preserve">$656.3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2"/>
              </w:rPr>
            </w:pPr>
            <w:r>
              <w:rPr>
                <w:spacing w:val="-2"/>
              </w:rPr>
              <w:t xml:space="preserve">$611.0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283"/>
              <w:jc w:val="left"/>
              <w:rPr>
                <w:spacing w:val="0"/>
              </w:rPr>
            </w:pPr>
            <w:r>
              <w:rPr>
                <w:spacing w:val="0"/>
              </w:rPr>
              <w:t xml:space="preserve">Restructuring charges on GAAP basis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2"/>
              </w:rPr>
            </w:pPr>
            <w:r>
              <w:rPr>
                <w:spacing w:val="-2"/>
              </w:rPr>
              <w:t xml:space="preserve">$63.4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2"/>
              </w:rPr>
            </w:pPr>
            <w:r>
              <w:rPr>
                <w:spacing w:val="-2"/>
              </w:rPr>
              <w:t xml:space="preserve">$160.1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0"/>
              <w:ind w:left="185" w:right="0" w:hanging="0"/>
              <w:jc w:val="left"/>
              <w:rPr/>
            </w:pPr>
            <w:r>
              <w:rPr>
                <w:spacing w:val="-1"/>
              </w:rPr>
              <w:t>Restructuring charges</w:t>
            </w:r>
            <w:r>
              <w:rPr>
                <w:spacing w:val="-1"/>
                <w:sz w:val="12"/>
              </w:rPr>
              <w:t>4</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(63.4)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(160.1)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283"/>
              <w:jc w:val="left"/>
              <w:rPr>
                <w:spacing w:val="0"/>
              </w:rPr>
            </w:pPr>
            <w:r>
              <w:rPr>
                <w:spacing w:val="0"/>
              </w:rPr>
              <w:t xml:space="preserve">Restructuring charges on non-GAAP basis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pPr>
            <w:r>
              <w:rPr>
                <w:spacing w:val="-2"/>
              </w:rPr>
              <w:t>$—</w:t>
            </w:r>
            <w:r>
              <w:rPr/>
              <w:t xml:space="preserve">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283"/>
              <w:jc w:val="left"/>
              <w:rPr>
                <w:spacing w:val="0"/>
              </w:rPr>
            </w:pPr>
            <w:r>
              <w:rPr>
                <w:spacing w:val="0"/>
              </w:rPr>
              <w:t xml:space="preserve">Impairment of assets held-for-sale on GAAP basis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2"/>
              </w:rPr>
            </w:pPr>
            <w:r>
              <w:rPr>
                <w:spacing w:val="-2"/>
              </w:rPr>
              <w:t xml:space="preserve">$64.4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2"/>
              </w:rPr>
            </w:pPr>
            <w:r>
              <w:rPr>
                <w:spacing w:val="-2"/>
              </w:rPr>
              <w:t xml:space="preserve">$85.0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0"/>
              <w:ind w:left="185" w:right="0" w:hanging="0"/>
              <w:jc w:val="left"/>
              <w:rPr/>
            </w:pPr>
            <w:r>
              <w:rPr>
                <w:spacing w:val="-1"/>
              </w:rPr>
              <w:t>Impairment of assets held-for-sale</w:t>
            </w:r>
            <w:r>
              <w:rPr>
                <w:spacing w:val="-1"/>
                <w:sz w:val="12"/>
              </w:rPr>
              <w:t>5</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(64.4)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(85.0)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283"/>
              <w:jc w:val="left"/>
              <w:rPr>
                <w:spacing w:val="0"/>
              </w:rPr>
            </w:pPr>
            <w:r>
              <w:rPr>
                <w:spacing w:val="0"/>
              </w:rPr>
              <w:t xml:space="preserve">Impairment of assets held-for-sale on non-GAAP basis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pPr>
            <w:r>
              <w:rPr>
                <w:spacing w:val="-2"/>
              </w:rPr>
              <w:t>$—</w:t>
            </w:r>
            <w:r>
              <w:rPr/>
              <w:t xml:space="preserve">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283"/>
              <w:jc w:val="left"/>
              <w:rPr>
                <w:spacing w:val="0"/>
              </w:rPr>
            </w:pPr>
            <w:r>
              <w:rPr>
                <w:spacing w:val="0"/>
              </w:rPr>
              <w:t xml:space="preserve">Gain on sale of business on GAAP basis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2"/>
              </w:rPr>
            </w:pPr>
            <w:r>
              <w:rPr>
                <w:spacing w:val="-2"/>
              </w:rPr>
              <w:t xml:space="preserve">$(124.1)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pPr>
            <w:r>
              <w:rPr>
                <w:spacing w:val="-2"/>
              </w:rPr>
              <w:t>$—</w:t>
            </w:r>
            <w:r>
              <w:rPr/>
              <w:t xml:space="preserve">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0"/>
              <w:ind w:left="185" w:right="0" w:hanging="0"/>
              <w:jc w:val="left"/>
              <w:rPr/>
            </w:pPr>
            <w:r>
              <w:rPr>
                <w:spacing w:val="-1"/>
              </w:rPr>
              <w:t>Gain on sale of business</w:t>
            </w:r>
            <w:r>
              <w:rPr>
                <w:spacing w:val="-1"/>
                <w:sz w:val="12"/>
              </w:rPr>
              <w:t>6</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124.1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pPr>
            <w:r>
              <w:rPr>
                <w:spacing w:val="-1"/>
              </w:rPr>
              <w:t>—</w:t>
            </w:r>
            <w:r>
              <w:rPr/>
              <w:t xml:space="preserve">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283"/>
              <w:jc w:val="left"/>
              <w:rPr>
                <w:spacing w:val="0"/>
              </w:rPr>
            </w:pPr>
            <w:r>
              <w:rPr>
                <w:spacing w:val="0"/>
              </w:rPr>
              <w:t xml:space="preserve">Gain on sale of business on non-GAAP basis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pPr>
            <w:r>
              <w:rPr>
                <w:spacing w:val="-2"/>
              </w:rPr>
              <w:t>$—</w:t>
            </w:r>
            <w:r>
              <w:rPr/>
              <w:t xml:space="preserve">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283"/>
              <w:jc w:val="left"/>
              <w:rPr>
                <w:spacing w:val="0"/>
              </w:rPr>
            </w:pPr>
            <w:r>
              <w:rPr>
                <w:spacing w:val="0"/>
              </w:rPr>
              <w:t xml:space="preserve">Operating income on GAAP basis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2"/>
              </w:rPr>
            </w:pPr>
            <w:r>
              <w:rPr>
                <w:spacing w:val="-2"/>
              </w:rPr>
              <w:t xml:space="preserve">$897.9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2"/>
              </w:rPr>
            </w:pPr>
            <w:r>
              <w:rPr>
                <w:spacing w:val="-2"/>
              </w:rPr>
              <w:t xml:space="preserve">$289.9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0"/>
              <w:ind w:left="185" w:right="0" w:hanging="0"/>
              <w:jc w:val="left"/>
              <w:rPr>
                <w:spacing w:val="-1"/>
              </w:rPr>
            </w:pPr>
            <w:r>
              <w:rPr>
                <w:spacing w:val="-1"/>
              </w:rPr>
              <w:t xml:space="preserve">Share-based compensation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193.8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161.0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0"/>
              <w:ind w:left="185" w:right="0" w:hanging="0"/>
              <w:jc w:val="left"/>
              <w:rPr>
                <w:spacing w:val="-1"/>
              </w:rPr>
            </w:pPr>
            <w:r>
              <w:rPr>
                <w:spacing w:val="-1"/>
              </w:rPr>
              <w:t xml:space="preserve">Amortization of acquired intangibles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280.3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302.8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0"/>
              <w:ind w:left="185" w:right="0" w:hanging="0"/>
              <w:jc w:val="left"/>
              <w:rPr/>
            </w:pPr>
            <w:r>
              <w:rPr>
                <w:spacing w:val="-1"/>
              </w:rPr>
              <w:t>Restructuring charges</w:t>
            </w:r>
            <w:r>
              <w:rPr>
                <w:spacing w:val="-1"/>
                <w:sz w:val="12"/>
              </w:rPr>
              <w:t>4</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63.4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160.1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0"/>
              <w:ind w:left="185" w:right="0" w:hanging="0"/>
              <w:jc w:val="left"/>
              <w:rPr/>
            </w:pPr>
            <w:r>
              <w:rPr>
                <w:spacing w:val="-1"/>
              </w:rPr>
              <w:t>Impairment of assets held-for-sale</w:t>
            </w:r>
            <w:r>
              <w:rPr>
                <w:spacing w:val="-1"/>
                <w:sz w:val="12"/>
              </w:rPr>
              <w:t>5</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64.4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85.0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0"/>
              <w:ind w:left="185" w:right="0" w:hanging="0"/>
              <w:jc w:val="left"/>
              <w:rPr/>
            </w:pPr>
            <w:r>
              <w:rPr>
                <w:spacing w:val="-1"/>
              </w:rPr>
              <w:t>Integration, site consolidation and other</w:t>
            </w:r>
            <w:r>
              <w:rPr>
                <w:spacing w:val="-1"/>
                <w:sz w:val="12"/>
              </w:rPr>
              <w:t>2</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80.2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38.2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0"/>
              <w:ind w:left="185" w:right="0" w:hanging="0"/>
              <w:jc w:val="left"/>
              <w:rPr/>
            </w:pPr>
            <w:r>
              <w:rPr>
                <w:spacing w:val="-1"/>
              </w:rPr>
              <w:t>Gain on sale of business</w:t>
            </w:r>
            <w:r>
              <w:rPr>
                <w:spacing w:val="-1"/>
                <w:sz w:val="12"/>
              </w:rPr>
              <w:t>6</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(124.1)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pPr>
            <w:r>
              <w:rPr>
                <w:spacing w:val="-1"/>
              </w:rPr>
              <w:t>—</w:t>
            </w:r>
            <w:r>
              <w:rPr/>
              <w:t xml:space="preserve">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0"/>
              <w:ind w:left="185" w:right="0" w:hanging="0"/>
              <w:jc w:val="left"/>
              <w:rPr/>
            </w:pPr>
            <w:r>
              <w:rPr>
                <w:spacing w:val="-1"/>
              </w:rPr>
              <w:t>Financing fees</w:t>
            </w:r>
            <w:r>
              <w:rPr>
                <w:spacing w:val="-1"/>
                <w:sz w:val="12"/>
              </w:rPr>
              <w:t>3</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1.1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pPr>
            <w:r>
              <w:rPr>
                <w:spacing w:val="-1"/>
              </w:rPr>
              <w:t>—</w:t>
            </w:r>
            <w:r>
              <w:rPr/>
              <w:t xml:space="preserve">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283"/>
              <w:jc w:val="left"/>
              <w:rPr>
                <w:spacing w:val="0"/>
              </w:rPr>
            </w:pPr>
            <w:r>
              <w:rPr>
                <w:spacing w:val="0"/>
              </w:rPr>
              <w:t xml:space="preserve">Operating income on non-GAAP basis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2"/>
              </w:rPr>
            </w:pPr>
            <w:r>
              <w:rPr>
                <w:spacing w:val="-2"/>
              </w:rPr>
              <w:t xml:space="preserve">$1,456.9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2"/>
              </w:rPr>
            </w:pPr>
            <w:r>
              <w:rPr>
                <w:spacing w:val="-2"/>
              </w:rPr>
              <w:t xml:space="preserve">$1,036.9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283"/>
              <w:jc w:val="left"/>
              <w:rPr>
                <w:spacing w:val="0"/>
              </w:rPr>
            </w:pPr>
            <w:r>
              <w:rPr>
                <w:spacing w:val="0"/>
              </w:rPr>
              <w:t xml:space="preserve">Interest and other (income) expense, net on GAAP basis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2"/>
              </w:rPr>
            </w:pPr>
            <w:r>
              <w:rPr>
                <w:spacing w:val="-2"/>
              </w:rPr>
              <w:t xml:space="preserve">$50.1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2"/>
              </w:rPr>
            </w:pPr>
            <w:r>
              <w:rPr>
                <w:spacing w:val="-2"/>
              </w:rPr>
              <w:t xml:space="preserve">$195.7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before="0" w:after="0"/>
              <w:ind w:left="185" w:right="0" w:hanging="0"/>
              <w:jc w:val="left"/>
              <w:rPr>
                <w:spacing w:val="-1"/>
              </w:rPr>
            </w:pPr>
            <w:r>
              <w:rPr>
                <w:spacing w:val="-1"/>
              </w:rPr>
              <w:t xml:space="preserve">Foreign currency exchange gains (losses), net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6.1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(28.4)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491" w:type="dxa"/>
            <w:tcBorders>
              <w:bottom w:val="single" w:sz="2" w:space="0" w:color="666666"/>
            </w:tcBorders>
            <w:tcMar>
              <w:bottom w:w="63" w:type="dxa"/>
            </w:tcMar>
            <w:vAlign w:val="center"/>
          </w:tcPr>
          <w:p>
            <w:pPr>
              <w:pStyle w:val="TableContents"/>
              <w:bidi w:val="0"/>
              <w:spacing w:lineRule="atLeast" w:line="142" w:before="0" w:after="0"/>
              <w:ind w:left="185" w:right="0" w:hanging="0"/>
              <w:jc w:val="left"/>
              <w:rPr/>
            </w:pPr>
            <w:r>
              <w:rPr>
                <w:spacing w:val="-1"/>
              </w:rPr>
              <w:t>Gain on sale of investment</w:t>
            </w:r>
            <w:r>
              <w:rPr>
                <w:spacing w:val="-1"/>
                <w:sz w:val="12"/>
              </w:rPr>
              <w:t>7</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74.0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pPr>
            <w:r>
              <w:rPr>
                <w:spacing w:val="-1"/>
              </w:rPr>
              <w:t>—</w:t>
            </w:r>
            <w:r>
              <w:rPr/>
              <w:t xml:space="preserve"> </w:t>
            </w:r>
          </w:p>
        </w:tc>
        <w:tc>
          <w:tcPr>
            <w:tcW w:w="154" w:type="dxa"/>
            <w:tcBorders>
              <w:bottom w:val="single" w:sz="2" w:space="0" w:color="666666"/>
            </w:tcBorders>
            <w:vAlign w:val="center"/>
          </w:tcPr>
          <w:p>
            <w:pPr>
              <w:pStyle w:val="TableContents"/>
              <w:bidi w:val="0"/>
              <w:spacing w:before="0" w:after="283"/>
              <w:jc w:val="left"/>
              <w:rPr/>
            </w:pPr>
            <w:r>
              <w:rPr/>
              <w:t>​</w:t>
            </w:r>
          </w:p>
        </w:tc>
      </w:tr>
    </w:tbl>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92</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tbl>
      <w:tblPr>
        <w:tblW w:w="8908" w:type="dxa"/>
        <w:jc w:val="left"/>
        <w:tblInd w:w="893" w:type="dxa"/>
        <w:tblLayout w:type="fixed"/>
        <w:tblCellMar>
          <w:top w:w="0" w:type="dxa"/>
          <w:left w:w="0" w:type="dxa"/>
          <w:bottom w:w="28" w:type="dxa"/>
          <w:right w:w="0" w:type="dxa"/>
        </w:tblCellMar>
      </w:tblPr>
      <w:tblGrid>
        <w:gridCol w:w="124"/>
        <w:gridCol w:w="6241"/>
        <w:gridCol w:w="109"/>
        <w:gridCol w:w="109"/>
        <w:gridCol w:w="992"/>
        <w:gridCol w:w="109"/>
        <w:gridCol w:w="109"/>
        <w:gridCol w:w="961"/>
        <w:gridCol w:w="154"/>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6241"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2171" w:type="dxa"/>
            <w:gridSpan w:val="4"/>
            <w:tcBorders>
              <w:bottom w:val="single" w:sz="2" w:space="0" w:color="FFFFFF"/>
            </w:tcBorders>
            <w:shd w:fill="000000" w:val="clear"/>
            <w:tcMar>
              <w:bottom w:w="50" w:type="dxa"/>
            </w:tcMar>
            <w:vAlign w:val="center"/>
          </w:tcPr>
          <w:p>
            <w:pPr>
              <w:pStyle w:val="TableContents"/>
              <w:bidi w:val="0"/>
              <w:spacing w:before="0" w:after="0"/>
              <w:jc w:val="center"/>
              <w:rPr/>
            </w:pPr>
            <w:r>
              <w:rPr/>
              <w:t xml:space="preserve">Year Ended </w:t>
            </w:r>
          </w:p>
        </w:tc>
        <w:tc>
          <w:tcPr>
            <w:tcW w:w="154" w:type="dxa"/>
            <w:tcBorders>
              <w:bottom w:val="single" w:sz="2" w:space="0" w:color="000000"/>
            </w:tcBorders>
            <w:shd w:fill="000000" w:val="clear"/>
            <w:vAlign w:val="center"/>
          </w:tcPr>
          <w:p>
            <w:pPr>
              <w:pStyle w:val="TableContents"/>
              <w:bidi w:val="0"/>
              <w:spacing w:before="0" w:after="283"/>
              <w:jc w:val="left"/>
              <w:rPr/>
            </w:pPr>
            <w:r>
              <w:rPr/>
              <w:t>​</w:t>
            </w:r>
          </w:p>
        </w:tc>
      </w:tr>
      <w:tr>
        <w:trPr/>
        <w:tc>
          <w:tcPr>
            <w:tcW w:w="124" w:type="dxa"/>
            <w:tcBorders/>
            <w:shd w:fill="000000" w:val="clear"/>
            <w:tcMar>
              <w:bottom w:w="0" w:type="dxa"/>
            </w:tcMar>
            <w:vAlign w:val="center"/>
          </w:tcPr>
          <w:p>
            <w:pPr>
              <w:pStyle w:val="TableContents"/>
              <w:bidi w:val="0"/>
              <w:spacing w:before="0" w:after="283"/>
              <w:jc w:val="left"/>
              <w:rPr/>
            </w:pPr>
            <w:r>
              <w:rPr/>
              <w:t>​</w:t>
            </w:r>
          </w:p>
        </w:tc>
        <w:tc>
          <w:tcPr>
            <w:tcW w:w="6241" w:type="dxa"/>
            <w:tcBorders/>
            <w:shd w:fill="000000" w:val="clear"/>
            <w:tcMar>
              <w:bottom w:w="0" w:type="dxa"/>
            </w:tcMar>
            <w:vAlign w:val="center"/>
          </w:tcPr>
          <w:p>
            <w:pPr>
              <w:pStyle w:val="TableContents"/>
              <w:bidi w:val="0"/>
              <w:spacing w:before="0" w:after="0"/>
              <w:jc w:val="left"/>
              <w:rPr/>
            </w:pPr>
            <w:r>
              <w:rPr/>
              <w:t xml:space="preserve">$ Millions, except per share amounts (unaudited)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992" w:type="dxa"/>
            <w:tcBorders/>
            <w:shd w:fill="000000" w:val="clear"/>
            <w:tcMar>
              <w:bottom w:w="0" w:type="dxa"/>
            </w:tcMar>
            <w:vAlign w:val="center"/>
          </w:tcPr>
          <w:p>
            <w:pPr>
              <w:pStyle w:val="TableContents"/>
              <w:bidi w:val="0"/>
              <w:spacing w:before="0" w:after="0"/>
              <w:jc w:val="center"/>
              <w:rPr/>
            </w:pPr>
            <w:r>
              <w:rPr/>
              <w:t xml:space="preserve">June 30, </w:t>
              <w:br/>
              <w:t xml:space="preserve">2026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961" w:type="dxa"/>
            <w:tcBorders/>
            <w:shd w:fill="000000" w:val="clear"/>
            <w:tcMar>
              <w:bottom w:w="0" w:type="dxa"/>
            </w:tcMar>
            <w:vAlign w:val="center"/>
          </w:tcPr>
          <w:p>
            <w:pPr>
              <w:pStyle w:val="TableContents"/>
              <w:bidi w:val="0"/>
              <w:spacing w:lineRule="atLeast" w:line="142" w:before="0" w:after="0"/>
              <w:jc w:val="center"/>
              <w:rPr/>
            </w:pPr>
            <w:r>
              <w:rPr/>
              <w:t xml:space="preserve">June 30, </w:t>
              <w:br/>
              <w:t>2025</w:t>
            </w:r>
            <w:r>
              <w:rPr>
                <w:sz w:val="10"/>
              </w:rPr>
              <w:t>1</w:t>
            </w:r>
          </w:p>
        </w:tc>
        <w:tc>
          <w:tcPr>
            <w:tcW w:w="154" w:type="dxa"/>
            <w:tcBorders/>
            <w:shd w:fill="000000"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6241" w:type="dxa"/>
            <w:tcBorders>
              <w:bottom w:val="single" w:sz="2" w:space="0" w:color="666666"/>
            </w:tcBorders>
            <w:tcMar>
              <w:bottom w:w="63" w:type="dxa"/>
            </w:tcMar>
            <w:vAlign w:val="center"/>
          </w:tcPr>
          <w:p>
            <w:pPr>
              <w:pStyle w:val="TableContents"/>
              <w:bidi w:val="0"/>
              <w:spacing w:before="0" w:after="0"/>
              <w:ind w:left="185" w:right="0" w:hanging="0"/>
              <w:jc w:val="left"/>
              <w:rPr/>
            </w:pPr>
            <w:r>
              <w:rPr>
                <w:spacing w:val="-1"/>
              </w:rPr>
              <w:t>Financing fees</w:t>
            </w:r>
            <w:r>
              <w:rPr>
                <w:spacing w:val="-1"/>
                <w:sz w:val="12"/>
              </w:rPr>
              <w:t>3</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(12.1)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61" w:type="dxa"/>
            <w:tcBorders>
              <w:bottom w:val="single" w:sz="2" w:space="0" w:color="666666"/>
            </w:tcBorders>
            <w:tcMar>
              <w:bottom w:w="63" w:type="dxa"/>
            </w:tcMar>
            <w:vAlign w:val="center"/>
          </w:tcPr>
          <w:p>
            <w:pPr>
              <w:pStyle w:val="TableContents"/>
              <w:bidi w:val="0"/>
              <w:spacing w:before="0" w:after="0"/>
              <w:jc w:val="center"/>
              <w:rPr/>
            </w:pPr>
            <w:r>
              <w:rPr>
                <w:spacing w:val="-1"/>
              </w:rPr>
              <w:t>—</w:t>
            </w:r>
            <w:r>
              <w:rPr/>
              <w:t xml:space="preserve">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6241" w:type="dxa"/>
            <w:tcBorders>
              <w:bottom w:val="single" w:sz="2" w:space="0" w:color="666666"/>
            </w:tcBorders>
            <w:tcMar>
              <w:bottom w:w="63" w:type="dxa"/>
            </w:tcMar>
            <w:vAlign w:val="center"/>
          </w:tcPr>
          <w:p>
            <w:pPr>
              <w:pStyle w:val="TableContents"/>
              <w:bidi w:val="0"/>
              <w:spacing w:before="0" w:after="283"/>
              <w:jc w:val="left"/>
              <w:rPr>
                <w:spacing w:val="0"/>
              </w:rPr>
            </w:pPr>
            <w:r>
              <w:rPr>
                <w:spacing w:val="0"/>
              </w:rPr>
              <w:t xml:space="preserve">Interest and other (income) expense, net on non-GAAP basis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2"/>
              </w:rPr>
            </w:pPr>
            <w:r>
              <w:rPr>
                <w:spacing w:val="-2"/>
              </w:rPr>
              <w:t xml:space="preserve">$118.1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61" w:type="dxa"/>
            <w:tcBorders>
              <w:bottom w:val="single" w:sz="2" w:space="0" w:color="666666"/>
            </w:tcBorders>
            <w:tcMar>
              <w:bottom w:w="63" w:type="dxa"/>
            </w:tcMar>
            <w:vAlign w:val="center"/>
          </w:tcPr>
          <w:p>
            <w:pPr>
              <w:pStyle w:val="TableContents"/>
              <w:bidi w:val="0"/>
              <w:spacing w:before="0" w:after="0"/>
              <w:jc w:val="center"/>
              <w:rPr>
                <w:spacing w:val="-2"/>
              </w:rPr>
            </w:pPr>
            <w:r>
              <w:rPr>
                <w:spacing w:val="-2"/>
              </w:rPr>
              <w:t xml:space="preserve">$167.3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6241" w:type="dxa"/>
            <w:tcBorders>
              <w:bottom w:val="single" w:sz="2" w:space="0" w:color="666666"/>
            </w:tcBorders>
            <w:tcMar>
              <w:bottom w:w="63" w:type="dxa"/>
            </w:tcMar>
            <w:vAlign w:val="center"/>
          </w:tcPr>
          <w:p>
            <w:pPr>
              <w:pStyle w:val="TableContents"/>
              <w:bidi w:val="0"/>
              <w:spacing w:before="0" w:after="283"/>
              <w:jc w:val="left"/>
              <w:rPr>
                <w:spacing w:val="0"/>
              </w:rPr>
            </w:pPr>
            <w:r>
              <w:rPr>
                <w:spacing w:val="0"/>
              </w:rPr>
              <w:t xml:space="preserve">Income taxes on GAAP basis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2"/>
              </w:rPr>
            </w:pPr>
            <w:r>
              <w:rPr>
                <w:spacing w:val="-2"/>
              </w:rPr>
              <w:t xml:space="preserve">$60.8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61" w:type="dxa"/>
            <w:tcBorders>
              <w:bottom w:val="single" w:sz="2" w:space="0" w:color="666666"/>
            </w:tcBorders>
            <w:tcMar>
              <w:bottom w:w="63" w:type="dxa"/>
            </w:tcMar>
            <w:vAlign w:val="center"/>
          </w:tcPr>
          <w:p>
            <w:pPr>
              <w:pStyle w:val="TableContents"/>
              <w:bidi w:val="0"/>
              <w:spacing w:before="0" w:after="0"/>
              <w:jc w:val="center"/>
              <w:rPr>
                <w:spacing w:val="-2"/>
              </w:rPr>
            </w:pPr>
            <w:r>
              <w:rPr>
                <w:spacing w:val="-2"/>
              </w:rPr>
              <w:t xml:space="preserve">$64.1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6241" w:type="dxa"/>
            <w:tcBorders>
              <w:bottom w:val="single" w:sz="2" w:space="0" w:color="666666"/>
            </w:tcBorders>
            <w:tcMar>
              <w:bottom w:w="63" w:type="dxa"/>
            </w:tcMar>
            <w:vAlign w:val="center"/>
          </w:tcPr>
          <w:p>
            <w:pPr>
              <w:pStyle w:val="TableContents"/>
              <w:bidi w:val="0"/>
              <w:spacing w:before="0" w:after="0"/>
              <w:ind w:left="185" w:right="0" w:hanging="0"/>
              <w:jc w:val="left"/>
              <w:rPr/>
            </w:pPr>
            <w:r>
              <w:rPr>
                <w:spacing w:val="-1"/>
              </w:rPr>
              <w:t>Tax impact of non-GAAP measures</w:t>
            </w:r>
            <w:r>
              <w:rPr>
                <w:spacing w:val="-1"/>
                <w:sz w:val="12"/>
              </w:rPr>
              <w:t>8</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193.6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61"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119.9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6241" w:type="dxa"/>
            <w:tcBorders>
              <w:bottom w:val="single" w:sz="2" w:space="0" w:color="666666"/>
            </w:tcBorders>
            <w:tcMar>
              <w:bottom w:w="63" w:type="dxa"/>
            </w:tcMar>
            <w:vAlign w:val="center"/>
          </w:tcPr>
          <w:p>
            <w:pPr>
              <w:pStyle w:val="TableContents"/>
              <w:bidi w:val="0"/>
              <w:spacing w:before="0" w:after="283"/>
              <w:jc w:val="left"/>
              <w:rPr>
                <w:spacing w:val="0"/>
              </w:rPr>
            </w:pPr>
            <w:r>
              <w:rPr>
                <w:spacing w:val="0"/>
              </w:rPr>
              <w:t xml:space="preserve">Income taxes on non-GAAP basis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2"/>
              </w:rPr>
            </w:pPr>
            <w:r>
              <w:rPr>
                <w:spacing w:val="-2"/>
              </w:rPr>
              <w:t xml:space="preserve">$254.4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61" w:type="dxa"/>
            <w:tcBorders>
              <w:bottom w:val="single" w:sz="2" w:space="0" w:color="666666"/>
            </w:tcBorders>
            <w:tcMar>
              <w:bottom w:w="63" w:type="dxa"/>
            </w:tcMar>
            <w:vAlign w:val="center"/>
          </w:tcPr>
          <w:p>
            <w:pPr>
              <w:pStyle w:val="TableContents"/>
              <w:bidi w:val="0"/>
              <w:spacing w:before="0" w:after="0"/>
              <w:jc w:val="center"/>
              <w:rPr>
                <w:spacing w:val="-2"/>
              </w:rPr>
            </w:pPr>
            <w:r>
              <w:rPr>
                <w:spacing w:val="-2"/>
              </w:rPr>
              <w:t xml:space="preserve">$184.0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6241" w:type="dxa"/>
            <w:tcBorders>
              <w:bottom w:val="single" w:sz="2" w:space="0" w:color="666666"/>
            </w:tcBorders>
            <w:tcMar>
              <w:bottom w:w="63" w:type="dxa"/>
            </w:tcMar>
            <w:vAlign w:val="center"/>
          </w:tcPr>
          <w:p>
            <w:pPr>
              <w:pStyle w:val="TableContents"/>
              <w:bidi w:val="0"/>
              <w:spacing w:before="0" w:after="283"/>
              <w:jc w:val="left"/>
              <w:rPr>
                <w:spacing w:val="0"/>
              </w:rPr>
            </w:pPr>
            <w:r>
              <w:rPr>
                <w:spacing w:val="0"/>
              </w:rPr>
              <w:t xml:space="preserve">Net earnings attributable to Coherent Corp. on GAAP basis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2"/>
              </w:rPr>
            </w:pPr>
            <w:r>
              <w:rPr>
                <w:spacing w:val="-2"/>
              </w:rPr>
              <w:t xml:space="preserve">$805.0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61" w:type="dxa"/>
            <w:tcBorders>
              <w:bottom w:val="single" w:sz="2" w:space="0" w:color="666666"/>
            </w:tcBorders>
            <w:tcMar>
              <w:bottom w:w="63" w:type="dxa"/>
            </w:tcMar>
            <w:vAlign w:val="center"/>
          </w:tcPr>
          <w:p>
            <w:pPr>
              <w:pStyle w:val="TableContents"/>
              <w:bidi w:val="0"/>
              <w:spacing w:before="0" w:after="0"/>
              <w:jc w:val="center"/>
              <w:rPr>
                <w:spacing w:val="-2"/>
              </w:rPr>
            </w:pPr>
            <w:r>
              <w:rPr>
                <w:spacing w:val="-2"/>
              </w:rPr>
              <w:t xml:space="preserve">$49.4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6241" w:type="dxa"/>
            <w:tcBorders>
              <w:bottom w:val="single" w:sz="2" w:space="0" w:color="666666"/>
            </w:tcBorders>
            <w:tcMar>
              <w:bottom w:w="63" w:type="dxa"/>
            </w:tcMar>
            <w:vAlign w:val="center"/>
          </w:tcPr>
          <w:p>
            <w:pPr>
              <w:pStyle w:val="TableContents"/>
              <w:bidi w:val="0"/>
              <w:spacing w:before="0" w:after="0"/>
              <w:ind w:left="185" w:right="0" w:hanging="0"/>
              <w:jc w:val="left"/>
              <w:rPr>
                <w:spacing w:val="-1"/>
              </w:rPr>
            </w:pPr>
            <w:r>
              <w:rPr>
                <w:spacing w:val="-1"/>
              </w:rPr>
              <w:t xml:space="preserve">Share-based compensation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193.8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61"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161.0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6241" w:type="dxa"/>
            <w:tcBorders>
              <w:bottom w:val="single" w:sz="2" w:space="0" w:color="666666"/>
            </w:tcBorders>
            <w:tcMar>
              <w:bottom w:w="63" w:type="dxa"/>
            </w:tcMar>
            <w:vAlign w:val="center"/>
          </w:tcPr>
          <w:p>
            <w:pPr>
              <w:pStyle w:val="TableContents"/>
              <w:bidi w:val="0"/>
              <w:spacing w:before="0" w:after="0"/>
              <w:ind w:left="185" w:right="0" w:hanging="0"/>
              <w:jc w:val="left"/>
              <w:rPr>
                <w:spacing w:val="-1"/>
              </w:rPr>
            </w:pPr>
            <w:r>
              <w:rPr>
                <w:spacing w:val="-1"/>
              </w:rPr>
              <w:t xml:space="preserve">Amortization of acquired intangibles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280.3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61"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302.8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6241" w:type="dxa"/>
            <w:tcBorders>
              <w:bottom w:val="single" w:sz="2" w:space="0" w:color="666666"/>
            </w:tcBorders>
            <w:tcMar>
              <w:bottom w:w="63" w:type="dxa"/>
            </w:tcMar>
            <w:vAlign w:val="center"/>
          </w:tcPr>
          <w:p>
            <w:pPr>
              <w:pStyle w:val="TableContents"/>
              <w:bidi w:val="0"/>
              <w:spacing w:before="0" w:after="0"/>
              <w:ind w:left="185" w:right="0" w:hanging="0"/>
              <w:jc w:val="left"/>
              <w:rPr>
                <w:spacing w:val="-1"/>
              </w:rPr>
            </w:pPr>
            <w:r>
              <w:rPr>
                <w:spacing w:val="-1"/>
              </w:rPr>
              <w:t xml:space="preserve">Foreign currency exchange (gains) losses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(6.1)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61"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28.4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6241" w:type="dxa"/>
            <w:tcBorders>
              <w:bottom w:val="single" w:sz="2" w:space="0" w:color="666666"/>
            </w:tcBorders>
            <w:tcMar>
              <w:bottom w:w="63" w:type="dxa"/>
            </w:tcMar>
            <w:vAlign w:val="center"/>
          </w:tcPr>
          <w:p>
            <w:pPr>
              <w:pStyle w:val="TableContents"/>
              <w:bidi w:val="0"/>
              <w:spacing w:before="0" w:after="0"/>
              <w:ind w:left="185" w:right="0" w:hanging="0"/>
              <w:jc w:val="left"/>
              <w:rPr/>
            </w:pPr>
            <w:r>
              <w:rPr>
                <w:spacing w:val="-1"/>
              </w:rPr>
              <w:t>Restructuring charges</w:t>
            </w:r>
            <w:r>
              <w:rPr>
                <w:spacing w:val="-1"/>
                <w:sz w:val="12"/>
              </w:rPr>
              <w:t>4</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63.4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61"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160.1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6241" w:type="dxa"/>
            <w:tcBorders>
              <w:bottom w:val="single" w:sz="2" w:space="0" w:color="666666"/>
            </w:tcBorders>
            <w:tcMar>
              <w:bottom w:w="63" w:type="dxa"/>
            </w:tcMar>
            <w:vAlign w:val="center"/>
          </w:tcPr>
          <w:p>
            <w:pPr>
              <w:pStyle w:val="TableContents"/>
              <w:bidi w:val="0"/>
              <w:spacing w:before="0" w:after="0"/>
              <w:ind w:left="185" w:right="0" w:hanging="0"/>
              <w:jc w:val="left"/>
              <w:rPr/>
            </w:pPr>
            <w:r>
              <w:rPr>
                <w:spacing w:val="-1"/>
              </w:rPr>
              <w:t>Impairment of assets held-for-sale</w:t>
            </w:r>
            <w:r>
              <w:rPr>
                <w:spacing w:val="-1"/>
                <w:sz w:val="12"/>
              </w:rPr>
              <w:t>5</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64.4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61"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85.0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6241" w:type="dxa"/>
            <w:tcBorders>
              <w:bottom w:val="single" w:sz="2" w:space="0" w:color="666666"/>
            </w:tcBorders>
            <w:tcMar>
              <w:bottom w:w="63" w:type="dxa"/>
            </w:tcMar>
            <w:vAlign w:val="center"/>
          </w:tcPr>
          <w:p>
            <w:pPr>
              <w:pStyle w:val="TableContents"/>
              <w:bidi w:val="0"/>
              <w:spacing w:before="0" w:after="0"/>
              <w:ind w:left="185" w:right="0" w:hanging="0"/>
              <w:jc w:val="left"/>
              <w:rPr/>
            </w:pPr>
            <w:r>
              <w:rPr>
                <w:spacing w:val="-1"/>
              </w:rPr>
              <w:t>Integration, site consolidation and other</w:t>
            </w:r>
            <w:r>
              <w:rPr>
                <w:spacing w:val="-1"/>
                <w:sz w:val="12"/>
              </w:rPr>
              <w:t>2</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80.2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61"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38.2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6241" w:type="dxa"/>
            <w:tcBorders>
              <w:bottom w:val="single" w:sz="2" w:space="0" w:color="666666"/>
            </w:tcBorders>
            <w:tcMar>
              <w:bottom w:w="63" w:type="dxa"/>
            </w:tcMar>
            <w:vAlign w:val="center"/>
          </w:tcPr>
          <w:p>
            <w:pPr>
              <w:pStyle w:val="TableContents"/>
              <w:bidi w:val="0"/>
              <w:spacing w:before="0" w:after="0"/>
              <w:ind w:left="185" w:right="0" w:hanging="0"/>
              <w:jc w:val="left"/>
              <w:rPr>
                <w:spacing w:val="-1"/>
              </w:rPr>
            </w:pPr>
            <w:r>
              <w:rPr>
                <w:spacing w:val="-1"/>
              </w:rPr>
              <w:t xml:space="preserve">Non-controlling interest impact of non-GAAP items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(6.0)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61"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(12.3)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6241" w:type="dxa"/>
            <w:tcBorders>
              <w:bottom w:val="single" w:sz="2" w:space="0" w:color="666666"/>
            </w:tcBorders>
            <w:tcMar>
              <w:bottom w:w="63" w:type="dxa"/>
            </w:tcMar>
            <w:vAlign w:val="center"/>
          </w:tcPr>
          <w:p>
            <w:pPr>
              <w:pStyle w:val="TableContents"/>
              <w:bidi w:val="0"/>
              <w:spacing w:before="0" w:after="0"/>
              <w:ind w:left="185" w:right="0" w:hanging="0"/>
              <w:jc w:val="left"/>
              <w:rPr/>
            </w:pPr>
            <w:r>
              <w:rPr>
                <w:spacing w:val="-1"/>
              </w:rPr>
              <w:t>Gain on sale of business</w:t>
            </w:r>
            <w:r>
              <w:rPr>
                <w:spacing w:val="-1"/>
                <w:sz w:val="12"/>
              </w:rPr>
              <w:t>6</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(124.1)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61" w:type="dxa"/>
            <w:tcBorders>
              <w:bottom w:val="single" w:sz="2" w:space="0" w:color="666666"/>
            </w:tcBorders>
            <w:tcMar>
              <w:bottom w:w="63" w:type="dxa"/>
            </w:tcMar>
            <w:vAlign w:val="center"/>
          </w:tcPr>
          <w:p>
            <w:pPr>
              <w:pStyle w:val="TableContents"/>
              <w:bidi w:val="0"/>
              <w:spacing w:before="0" w:after="0"/>
              <w:jc w:val="center"/>
              <w:rPr/>
            </w:pPr>
            <w:r>
              <w:rPr>
                <w:spacing w:val="-1"/>
              </w:rPr>
              <w:t>—</w:t>
            </w:r>
            <w:r>
              <w:rPr/>
              <w:t xml:space="preserve">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6241" w:type="dxa"/>
            <w:tcBorders>
              <w:bottom w:val="single" w:sz="2" w:space="0" w:color="666666"/>
            </w:tcBorders>
            <w:tcMar>
              <w:bottom w:w="63" w:type="dxa"/>
            </w:tcMar>
            <w:vAlign w:val="center"/>
          </w:tcPr>
          <w:p>
            <w:pPr>
              <w:pStyle w:val="TableContents"/>
              <w:bidi w:val="0"/>
              <w:spacing w:before="0" w:after="0"/>
              <w:ind w:left="185" w:right="0" w:hanging="0"/>
              <w:jc w:val="left"/>
              <w:rPr/>
            </w:pPr>
            <w:r>
              <w:rPr>
                <w:spacing w:val="-1"/>
              </w:rPr>
              <w:t>Gain on sale of investment</w:t>
            </w:r>
            <w:r>
              <w:rPr>
                <w:spacing w:val="-1"/>
                <w:sz w:val="12"/>
              </w:rPr>
              <w:t>7</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(74.0)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61" w:type="dxa"/>
            <w:tcBorders>
              <w:bottom w:val="single" w:sz="2" w:space="0" w:color="666666"/>
            </w:tcBorders>
            <w:tcMar>
              <w:bottom w:w="63" w:type="dxa"/>
            </w:tcMar>
            <w:vAlign w:val="center"/>
          </w:tcPr>
          <w:p>
            <w:pPr>
              <w:pStyle w:val="TableContents"/>
              <w:bidi w:val="0"/>
              <w:spacing w:before="0" w:after="0"/>
              <w:jc w:val="center"/>
              <w:rPr/>
            </w:pPr>
            <w:r>
              <w:rPr>
                <w:spacing w:val="-1"/>
              </w:rPr>
              <w:t>—</w:t>
            </w:r>
            <w:r>
              <w:rPr/>
              <w:t xml:space="preserve">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6241" w:type="dxa"/>
            <w:tcBorders>
              <w:bottom w:val="single" w:sz="2" w:space="0" w:color="666666"/>
            </w:tcBorders>
            <w:tcMar>
              <w:bottom w:w="63" w:type="dxa"/>
            </w:tcMar>
            <w:vAlign w:val="center"/>
          </w:tcPr>
          <w:p>
            <w:pPr>
              <w:pStyle w:val="TableContents"/>
              <w:bidi w:val="0"/>
              <w:spacing w:before="0" w:after="0"/>
              <w:ind w:left="185" w:right="0" w:hanging="0"/>
              <w:jc w:val="left"/>
              <w:rPr/>
            </w:pPr>
            <w:r>
              <w:rPr>
                <w:spacing w:val="-1"/>
              </w:rPr>
              <w:t>Financing fees</w:t>
            </w:r>
            <w:r>
              <w:rPr>
                <w:spacing w:val="-1"/>
                <w:sz w:val="12"/>
              </w:rPr>
              <w:t>3</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13.2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61" w:type="dxa"/>
            <w:tcBorders>
              <w:bottom w:val="single" w:sz="2" w:space="0" w:color="666666"/>
            </w:tcBorders>
            <w:tcMar>
              <w:bottom w:w="63" w:type="dxa"/>
            </w:tcMar>
            <w:vAlign w:val="center"/>
          </w:tcPr>
          <w:p>
            <w:pPr>
              <w:pStyle w:val="TableContents"/>
              <w:bidi w:val="0"/>
              <w:spacing w:before="0" w:after="0"/>
              <w:jc w:val="center"/>
              <w:rPr/>
            </w:pPr>
            <w:r>
              <w:rPr>
                <w:spacing w:val="-1"/>
              </w:rPr>
              <w:t>—</w:t>
            </w:r>
            <w:r>
              <w:rPr/>
              <w:t xml:space="preserve">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6241" w:type="dxa"/>
            <w:tcBorders>
              <w:bottom w:val="single" w:sz="2" w:space="0" w:color="666666"/>
            </w:tcBorders>
            <w:tcMar>
              <w:bottom w:w="63" w:type="dxa"/>
            </w:tcMar>
            <w:vAlign w:val="center"/>
          </w:tcPr>
          <w:p>
            <w:pPr>
              <w:pStyle w:val="TableContents"/>
              <w:bidi w:val="0"/>
              <w:spacing w:before="0" w:after="0"/>
              <w:ind w:left="185" w:right="0" w:hanging="0"/>
              <w:jc w:val="left"/>
              <w:rPr/>
            </w:pPr>
            <w:r>
              <w:rPr>
                <w:spacing w:val="-1"/>
              </w:rPr>
              <w:t>Tax impact of non-GAAP measures</w:t>
            </w:r>
            <w:r>
              <w:rPr>
                <w:spacing w:val="-1"/>
                <w:sz w:val="12"/>
              </w:rPr>
              <w:t>8</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(193.5)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61"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(119.9)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6241" w:type="dxa"/>
            <w:tcBorders>
              <w:bottom w:val="single" w:sz="2" w:space="0" w:color="666666"/>
            </w:tcBorders>
            <w:tcMar>
              <w:bottom w:w="63" w:type="dxa"/>
            </w:tcMar>
            <w:vAlign w:val="center"/>
          </w:tcPr>
          <w:p>
            <w:pPr>
              <w:pStyle w:val="TableContents"/>
              <w:bidi w:val="0"/>
              <w:spacing w:before="0" w:after="283"/>
              <w:jc w:val="left"/>
              <w:rPr>
                <w:spacing w:val="0"/>
              </w:rPr>
            </w:pPr>
            <w:r>
              <w:rPr>
                <w:spacing w:val="0"/>
              </w:rPr>
              <w:t xml:space="preserve">Net earnings attributable to Coherent Corp. on non-GAAP basis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2"/>
              </w:rPr>
            </w:pPr>
            <w:r>
              <w:rPr>
                <w:spacing w:val="-2"/>
              </w:rPr>
              <w:t xml:space="preserve">$1,096.6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61" w:type="dxa"/>
            <w:tcBorders>
              <w:bottom w:val="single" w:sz="2" w:space="0" w:color="666666"/>
            </w:tcBorders>
            <w:tcMar>
              <w:bottom w:w="63" w:type="dxa"/>
            </w:tcMar>
            <w:vAlign w:val="center"/>
          </w:tcPr>
          <w:p>
            <w:pPr>
              <w:pStyle w:val="TableContents"/>
              <w:bidi w:val="0"/>
              <w:spacing w:before="0" w:after="0"/>
              <w:jc w:val="center"/>
              <w:rPr>
                <w:spacing w:val="-2"/>
              </w:rPr>
            </w:pPr>
            <w:r>
              <w:rPr>
                <w:spacing w:val="-2"/>
              </w:rPr>
              <w:t xml:space="preserve">$692.6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6241" w:type="dxa"/>
            <w:tcBorders>
              <w:bottom w:val="single" w:sz="2" w:space="0" w:color="666666"/>
            </w:tcBorders>
            <w:tcMar>
              <w:bottom w:w="63" w:type="dxa"/>
            </w:tcMar>
            <w:vAlign w:val="center"/>
          </w:tcPr>
          <w:p>
            <w:pPr>
              <w:pStyle w:val="TableContents"/>
              <w:bidi w:val="0"/>
              <w:spacing w:before="0" w:after="283"/>
              <w:jc w:val="left"/>
              <w:rPr>
                <w:spacing w:val="-1"/>
              </w:rPr>
            </w:pPr>
            <w:r>
              <w:rPr>
                <w:spacing w:val="-1"/>
              </w:rPr>
              <w:t xml:space="preserve">Per share data: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61" w:type="dxa"/>
            <w:tcBorders>
              <w:bottom w:val="single" w:sz="2" w:space="0" w:color="666666"/>
            </w:tcBorders>
            <w:tcMar>
              <w:bottom w:w="63" w:type="dxa"/>
            </w:tcMar>
            <w:vAlign w:val="center"/>
          </w:tcPr>
          <w:p>
            <w:pPr>
              <w:pStyle w:val="TableContents"/>
              <w:bidi w:val="0"/>
              <w:spacing w:before="0" w:after="283"/>
              <w:jc w:val="left"/>
              <w:rPr/>
            </w:pPr>
            <w:r>
              <w:rPr/>
              <w:t>​</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6241" w:type="dxa"/>
            <w:tcBorders>
              <w:bottom w:val="single" w:sz="2" w:space="0" w:color="666666"/>
            </w:tcBorders>
            <w:tcMar>
              <w:bottom w:w="63" w:type="dxa"/>
            </w:tcMar>
            <w:vAlign w:val="center"/>
          </w:tcPr>
          <w:p>
            <w:pPr>
              <w:pStyle w:val="TableContents"/>
              <w:bidi w:val="0"/>
              <w:spacing w:before="0" w:after="283"/>
              <w:jc w:val="left"/>
              <w:rPr>
                <w:spacing w:val="0"/>
              </w:rPr>
            </w:pPr>
            <w:r>
              <w:rPr>
                <w:spacing w:val="0"/>
              </w:rPr>
              <w:t xml:space="preserve">Net earnings (loss) on GAAP basis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61" w:type="dxa"/>
            <w:tcBorders>
              <w:bottom w:val="single" w:sz="2" w:space="0" w:color="666666"/>
            </w:tcBorders>
            <w:tcMar>
              <w:bottom w:w="63" w:type="dxa"/>
            </w:tcMar>
            <w:vAlign w:val="center"/>
          </w:tcPr>
          <w:p>
            <w:pPr>
              <w:pStyle w:val="TableContents"/>
              <w:bidi w:val="0"/>
              <w:spacing w:before="0" w:after="283"/>
              <w:jc w:val="left"/>
              <w:rPr/>
            </w:pPr>
            <w:r>
              <w:rPr/>
              <w:t>​</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6241" w:type="dxa"/>
            <w:tcBorders>
              <w:bottom w:val="single" w:sz="2" w:space="0" w:color="666666"/>
            </w:tcBorders>
            <w:tcMar>
              <w:bottom w:w="63" w:type="dxa"/>
            </w:tcMar>
            <w:vAlign w:val="center"/>
          </w:tcPr>
          <w:p>
            <w:pPr>
              <w:pStyle w:val="TableContents"/>
              <w:bidi w:val="0"/>
              <w:spacing w:before="0" w:after="0"/>
              <w:ind w:left="185" w:right="0" w:hanging="0"/>
              <w:jc w:val="left"/>
              <w:rPr>
                <w:spacing w:val="-1"/>
              </w:rPr>
            </w:pPr>
            <w:r>
              <w:rPr>
                <w:spacing w:val="-1"/>
              </w:rPr>
              <w:t xml:space="preserve">Basic Earnings (Loss) Per Share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$4.34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61"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$(0.52)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6241" w:type="dxa"/>
            <w:tcBorders>
              <w:bottom w:val="single" w:sz="2" w:space="0" w:color="666666"/>
            </w:tcBorders>
            <w:tcMar>
              <w:bottom w:w="63" w:type="dxa"/>
            </w:tcMar>
            <w:vAlign w:val="center"/>
          </w:tcPr>
          <w:p>
            <w:pPr>
              <w:pStyle w:val="TableContents"/>
              <w:bidi w:val="0"/>
              <w:spacing w:before="0" w:after="0"/>
              <w:ind w:left="185" w:right="0" w:hanging="0"/>
              <w:jc w:val="left"/>
              <w:rPr>
                <w:spacing w:val="-1"/>
              </w:rPr>
            </w:pPr>
            <w:r>
              <w:rPr>
                <w:spacing w:val="-1"/>
              </w:rPr>
              <w:t xml:space="preserve">Diluted Earnings (Loss) Per Share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$4.12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61"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$(0.52)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6241" w:type="dxa"/>
            <w:tcBorders>
              <w:bottom w:val="single" w:sz="2" w:space="0" w:color="666666"/>
            </w:tcBorders>
            <w:tcMar>
              <w:bottom w:w="63" w:type="dxa"/>
            </w:tcMar>
            <w:vAlign w:val="center"/>
          </w:tcPr>
          <w:p>
            <w:pPr>
              <w:pStyle w:val="TableContents"/>
              <w:bidi w:val="0"/>
              <w:spacing w:before="0" w:after="283"/>
              <w:jc w:val="left"/>
              <w:rPr>
                <w:spacing w:val="0"/>
              </w:rPr>
            </w:pPr>
            <w:r>
              <w:rPr>
                <w:spacing w:val="0"/>
              </w:rPr>
              <w:t xml:space="preserve">Net earnings on non-GAAP basis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61" w:type="dxa"/>
            <w:tcBorders>
              <w:bottom w:val="single" w:sz="2" w:space="0" w:color="666666"/>
            </w:tcBorders>
            <w:tcMar>
              <w:bottom w:w="63" w:type="dxa"/>
            </w:tcMar>
            <w:vAlign w:val="center"/>
          </w:tcPr>
          <w:p>
            <w:pPr>
              <w:pStyle w:val="TableContents"/>
              <w:bidi w:val="0"/>
              <w:spacing w:before="0" w:after="283"/>
              <w:jc w:val="left"/>
              <w:rPr/>
            </w:pPr>
            <w:r>
              <w:rPr/>
              <w:t>​</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6241" w:type="dxa"/>
            <w:tcBorders>
              <w:bottom w:val="single" w:sz="2" w:space="0" w:color="666666"/>
            </w:tcBorders>
            <w:tcMar>
              <w:bottom w:w="63" w:type="dxa"/>
            </w:tcMar>
            <w:vAlign w:val="center"/>
          </w:tcPr>
          <w:p>
            <w:pPr>
              <w:pStyle w:val="TableContents"/>
              <w:bidi w:val="0"/>
              <w:spacing w:before="0" w:after="0"/>
              <w:ind w:left="185" w:right="0" w:hanging="0"/>
              <w:jc w:val="left"/>
              <w:rPr>
                <w:spacing w:val="-1"/>
              </w:rPr>
            </w:pPr>
            <w:r>
              <w:rPr>
                <w:spacing w:val="-1"/>
              </w:rPr>
              <w:t xml:space="preserve">Basic Earnings Per Share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$5.99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61"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$3.64 </w:t>
            </w:r>
          </w:p>
        </w:tc>
        <w:tc>
          <w:tcPr>
            <w:tcW w:w="154"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6241" w:type="dxa"/>
            <w:tcBorders>
              <w:bottom w:val="single" w:sz="2" w:space="0" w:color="666666"/>
            </w:tcBorders>
            <w:tcMar>
              <w:bottom w:w="63" w:type="dxa"/>
            </w:tcMar>
            <w:vAlign w:val="center"/>
          </w:tcPr>
          <w:p>
            <w:pPr>
              <w:pStyle w:val="TableContents"/>
              <w:bidi w:val="0"/>
              <w:spacing w:before="0" w:after="0"/>
              <w:ind w:left="185" w:right="0" w:hanging="0"/>
              <w:jc w:val="left"/>
              <w:rPr>
                <w:spacing w:val="-1"/>
              </w:rPr>
            </w:pPr>
            <w:r>
              <w:rPr>
                <w:spacing w:val="-1"/>
              </w:rPr>
              <w:t xml:space="preserve">Diluted Earnings Per Share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92" w:type="dxa"/>
            <w:tcBorders>
              <w:bottom w:val="single" w:sz="2" w:space="0" w:color="666666"/>
            </w:tcBorders>
            <w:tcMar>
              <w:bottom w:w="63" w:type="dxa"/>
            </w:tcMar>
            <w:vAlign w:val="center"/>
          </w:tcPr>
          <w:p>
            <w:pPr>
              <w:pStyle w:val="TableContents"/>
              <w:bidi w:val="0"/>
              <w:spacing w:before="0" w:after="0"/>
              <w:jc w:val="center"/>
              <w:rPr>
                <w:spacing w:val="-1"/>
              </w:rPr>
            </w:pPr>
            <w:r>
              <w:rPr>
                <w:spacing w:val="-1"/>
              </w:rPr>
              <w:t xml:space="preserve">$5.61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961" w:type="dxa"/>
            <w:tcBorders>
              <w:bottom w:val="single" w:sz="2" w:space="0" w:color="666666"/>
            </w:tcBorders>
            <w:tcMar>
              <w:bottom w:w="63" w:type="dxa"/>
            </w:tcMar>
            <w:vAlign w:val="center"/>
          </w:tcPr>
          <w:p>
            <w:pPr>
              <w:pStyle w:val="TableContents"/>
              <w:bidi w:val="0"/>
              <w:spacing w:before="0" w:after="0"/>
              <w:jc w:val="center"/>
              <w:rPr/>
            </w:pPr>
            <w:r>
              <w:rPr>
                <w:spacing w:val="-1"/>
              </w:rPr>
              <w:t>$3.53</w:t>
            </w:r>
            <w:r>
              <w:rPr/>
              <w:t xml:space="preserve"> </w:t>
            </w:r>
          </w:p>
        </w:tc>
        <w:tc>
          <w:tcPr>
            <w:tcW w:w="154" w:type="dxa"/>
            <w:tcBorders>
              <w:bottom w:val="single" w:sz="2" w:space="0" w:color="666666"/>
            </w:tcBorders>
            <w:vAlign w:val="center"/>
          </w:tcPr>
          <w:p>
            <w:pPr>
              <w:pStyle w:val="TableContents"/>
              <w:bidi w:val="0"/>
              <w:spacing w:before="0" w:after="283"/>
              <w:jc w:val="left"/>
              <w:rPr/>
            </w:pPr>
            <w:r>
              <w:rPr/>
              <w:t>​</w:t>
            </w:r>
          </w:p>
        </w:tc>
      </w:tr>
    </w:tbl>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16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Amounts may not recalculate due to rounding.</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101600" distB="0" distL="0" distR="0" simplePos="0" locked="0" layoutInCell="1" allowOverlap="1" relativeHeight="439">
                <wp:simplePos x="0" y="0"/>
                <wp:positionH relativeFrom="column">
                  <wp:align>left</wp:align>
                </wp:positionH>
                <wp:positionV relativeFrom="line">
                  <wp:align>top</wp:align>
                </wp:positionV>
                <wp:extent cx="203200" cy="204470"/>
                <wp:effectExtent l="0" t="0" r="0" b="0"/>
                <wp:wrapSquare wrapText="right"/>
                <wp:docPr id="456" name="Frame229"/>
                <a:graphic xmlns:a="http://schemas.openxmlformats.org/drawingml/2006/main">
                  <a:graphicData uri="http://schemas.microsoft.com/office/word/2010/wordprocessingShape">
                    <wps:wsp>
                      <wps:cNvSpPr txBox="1"/>
                      <wps:spPr>
                        <a:xfrm>
                          <a:off x="0" y="0"/>
                          <a:ext cx="203200" cy="204470"/>
                        </a:xfrm>
                        <a:prstGeom prst="rect"/>
                        <a:solidFill>
                          <a:srgbClr val="FFFFFF"/>
                        </a:solidFill>
                      </wps:spPr>
                      <wps:txbx>
                        <w:txbxContent>
                          <w:p>
                            <w:pPr>
                              <w:pStyle w:val="TextBody"/>
                              <w:bidi w:val="0"/>
                              <w:spacing w:before="0" w:after="283"/>
                              <w:jc w:val="left"/>
                              <w:rPr>
                                <w:sz w:val="14"/>
                              </w:rPr>
                            </w:pPr>
                            <w:r>
                              <w:rPr>
                                <w:spacing w:val="-1"/>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16pt;height:16.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sz w:val="14"/>
                        </w:rPr>
                      </w:pPr>
                      <w:r>
                        <w:rPr>
                          <w:spacing w:val="-1"/>
                          <w:sz w:val="14"/>
                        </w:rPr>
                        <w:t>*</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During the second fiscal quarter of 2025, the Company refined its methodology to report non-GAAP measures. The change does not impact the Company’s financial position, cash flows, or GAAP consolidated results of operations. Prior period non-GAAP financial measures presented in this press release have been recast to conform to the current presentation.</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50800" distB="0" distL="0" distR="0" simplePos="0" locked="0" layoutInCell="1" allowOverlap="1" relativeHeight="440">
                <wp:simplePos x="0" y="0"/>
                <wp:positionH relativeFrom="column">
                  <wp:align>left</wp:align>
                </wp:positionH>
                <wp:positionV relativeFrom="line">
                  <wp:align>top</wp:align>
                </wp:positionV>
                <wp:extent cx="203200" cy="228600"/>
                <wp:effectExtent l="0" t="0" r="0" b="0"/>
                <wp:wrapSquare wrapText="right"/>
                <wp:docPr id="457" name="Frame230"/>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Integration, site consolidation and other costs include retention and severance payments and other integration costs related to the acquisition of Coherent, Inc., implementation of common technology systems and costs related to business divestitures.</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50800" distB="0" distL="0" distR="0" simplePos="0" locked="0" layoutInCell="1" allowOverlap="1" relativeHeight="441">
                <wp:simplePos x="0" y="0"/>
                <wp:positionH relativeFrom="column">
                  <wp:align>left</wp:align>
                </wp:positionH>
                <wp:positionV relativeFrom="line">
                  <wp:align>top</wp:align>
                </wp:positionV>
                <wp:extent cx="203200" cy="228600"/>
                <wp:effectExtent l="0" t="0" r="0" b="0"/>
                <wp:wrapSquare wrapText="right"/>
                <wp:docPr id="458" name="Frame231"/>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2.</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2.</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Financing fees include debt extinguishment costs and various fees related to closing the new Credit Agreement and repricing our Term Loan B as well as the conversion of Preferred Stock to Common Stock.</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50800" distB="0" distL="0" distR="0" simplePos="0" locked="0" layoutInCell="1" allowOverlap="1" relativeHeight="442">
                <wp:simplePos x="0" y="0"/>
                <wp:positionH relativeFrom="column">
                  <wp:align>left</wp:align>
                </wp:positionH>
                <wp:positionV relativeFrom="line">
                  <wp:align>top</wp:align>
                </wp:positionV>
                <wp:extent cx="203200" cy="228600"/>
                <wp:effectExtent l="0" t="0" r="0" b="0"/>
                <wp:wrapSquare wrapText="right"/>
                <wp:docPr id="459" name="Frame232"/>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3.</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3.</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Restructuring charges include non-cash impairment charges for production assets and improvements on leased facilities, loss on sale of a facility, severance, contract termination costs and other costs related to the restructuring plans.</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50800" distB="0" distL="0" distR="0" simplePos="0" locked="0" layoutInCell="1" allowOverlap="1" relativeHeight="443">
                <wp:simplePos x="0" y="0"/>
                <wp:positionH relativeFrom="column">
                  <wp:align>left</wp:align>
                </wp:positionH>
                <wp:positionV relativeFrom="line">
                  <wp:align>top</wp:align>
                </wp:positionV>
                <wp:extent cx="203200" cy="228600"/>
                <wp:effectExtent l="0" t="0" r="0" b="0"/>
                <wp:wrapSquare wrapText="right"/>
                <wp:docPr id="460" name="Frame233"/>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4.</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4.</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Impairment of assets held-for-sale relate to several entities classified as held-for-sale at June 30, 2026, December 31, 2025, September 30, 2025 and/or June 30, 2025.</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50800" distB="0" distL="0" distR="0" simplePos="0" locked="0" layoutInCell="1" allowOverlap="1" relativeHeight="444">
                <wp:simplePos x="0" y="0"/>
                <wp:positionH relativeFrom="column">
                  <wp:align>left</wp:align>
                </wp:positionH>
                <wp:positionV relativeFrom="line">
                  <wp:align>top</wp:align>
                </wp:positionV>
                <wp:extent cx="203200" cy="228600"/>
                <wp:effectExtent l="0" t="0" r="0" b="0"/>
                <wp:wrapSquare wrapText="right"/>
                <wp:docPr id="461" name="Frame234"/>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5.</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5.</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Gain on sale of business is due to the sale of our aerospace and defense and Munich tools businesses.</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50800" distB="0" distL="0" distR="0" simplePos="0" locked="0" layoutInCell="1" allowOverlap="1" relativeHeight="445">
                <wp:simplePos x="0" y="0"/>
                <wp:positionH relativeFrom="column">
                  <wp:align>left</wp:align>
                </wp:positionH>
                <wp:positionV relativeFrom="line">
                  <wp:align>top</wp:align>
                </wp:positionV>
                <wp:extent cx="203200" cy="228600"/>
                <wp:effectExtent l="0" t="0" r="0" b="0"/>
                <wp:wrapSquare wrapText="right"/>
                <wp:docPr id="462" name="Frame235"/>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6.</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6.</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Gain on sale of investment is due to the sale of shares in an equity method investment.</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50800" distB="0" distL="0" distR="0" simplePos="0" locked="0" layoutInCell="1" allowOverlap="1" relativeHeight="446">
                <wp:simplePos x="0" y="0"/>
                <wp:positionH relativeFrom="column">
                  <wp:align>left</wp:align>
                </wp:positionH>
                <wp:positionV relativeFrom="line">
                  <wp:align>top</wp:align>
                </wp:positionV>
                <wp:extent cx="203200" cy="228600"/>
                <wp:effectExtent l="0" t="0" r="0" b="0"/>
                <wp:wrapSquare wrapText="right"/>
                <wp:docPr id="463" name="Frame236"/>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7.</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7.</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213" w:right="40" w:hanging="0"/>
        <w:jc w:val="left"/>
        <w:rPr>
          <w:rFonts w:ascii="Arial;Helvetica;sans-serif" w:hAnsi="Arial;Helvetica;sans-serif"/>
          <w:b w:val="false"/>
          <w:i w:val="false"/>
          <w:caps w:val="false"/>
          <w:smallCaps w:val="false"/>
          <w:color w:val="000000"/>
          <w:spacing w:val="-1"/>
          <w:sz w:val="14"/>
          <w:shd w:fill="FFFFFF" w:val="clear"/>
        </w:rPr>
      </w:pPr>
      <w:r>
        <w:rPr>
          <w:rFonts w:ascii="Arial;Helvetica;sans-serif" w:hAnsi="Arial;Helvetica;sans-serif"/>
          <w:b w:val="false"/>
          <w:i w:val="false"/>
          <w:caps w:val="false"/>
          <w:smallCaps w:val="false"/>
          <w:color w:val="000000"/>
          <w:spacing w:val="-1"/>
          <w:sz w:val="14"/>
          <w:shd w:fill="FFFFFF" w:val="clear"/>
        </w:rPr>
        <w:t xml:space="preserve">The Company adopted a full-year, normalized tax rate for the computation of the non-GAAP income tax provision for fiscal year 2026. We believe this approach provides investors with a more consistent view of our underlying operating performance. In estimating the full-year non-GAAP normalized tax rate, the Company utilized a full-year financial projection that considers multiple factors such as changes to the Company’s current operating structure, expected reserve changes for the year, and other significant tax matters to the extent they are applicable to the full fiscal year financial projection. In addition to the adjustments described above, this normalized tax rate excludes the impact of share-based awards, amortization of acquisition-related intangible assets, integration and restructuring charges, foreign exchange gain/(loss), and certain tax valuation allowances. </w:t>
      </w:r>
      <w:r>
        <mc:AlternateContent>
          <mc:Choice Requires="wps">
            <w:drawing>
              <wp:anchor behindDoc="0" distT="50800" distB="0" distL="0" distR="0" simplePos="0" locked="0" layoutInCell="1" allowOverlap="1" relativeHeight="447">
                <wp:simplePos x="0" y="0"/>
                <wp:positionH relativeFrom="column">
                  <wp:align>left</wp:align>
                </wp:positionH>
                <wp:positionV relativeFrom="line">
                  <wp:align>top</wp:align>
                </wp:positionV>
                <wp:extent cx="203200" cy="228600"/>
                <wp:effectExtent l="0" t="0" r="0" b="0"/>
                <wp:wrapSquare wrapText="right"/>
                <wp:docPr id="464" name="Frame237"/>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8.</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8.</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00" w:before="100" w:after="283"/>
        <w:ind w:left="893" w:right="40" w:hanging="0"/>
        <w:jc w:val="righ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0000"/>
          <w:sz w:val="16"/>
          <w:shd w:fill="FFFFFF" w:val="clear"/>
        </w:rPr>
        <w:t>COHERENT PROXY STATEMENT 2026</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4"/>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68C7"/>
          <w:sz w:val="22"/>
          <w:shd w:fill="FFFFFF" w:val="clear"/>
        </w:rPr>
        <w:t>93</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893" w:right="40" w:hanging="0"/>
        <w:jc w:val="left"/>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440" w:before="120" w:after="5210"/>
        <w:ind w:left="893" w:right="40" w:hanging="0"/>
        <w:jc w:val="left"/>
        <w:rPr>
          <w:rFonts w:ascii="Tahoma;Geneva;sans-serif" w:hAnsi="Tahoma;Geneva;sans-serif"/>
          <w:b/>
          <w:i w:val="false"/>
          <w:caps w:val="false"/>
          <w:smallCaps w:val="false"/>
          <w:color w:val="000000"/>
          <w:sz w:val="40"/>
          <w:shd w:fill="FFFFFF" w:val="clear"/>
        </w:rPr>
      </w:pPr>
      <w:r>
        <w:rPr>
          <w:rFonts w:ascii="Tahoma;Geneva;sans-serif" w:hAnsi="Tahoma;Geneva;sans-serif"/>
          <w:b/>
          <w:i w:val="false"/>
          <w:caps w:val="false"/>
          <w:smallCaps w:val="false"/>
          <w:color w:val="000000"/>
          <w:sz w:val="40"/>
          <w:shd w:fill="FFFFFF" w:val="clear"/>
        </w:rPr>
        <w:t>NON-GAAP EARNINGS PER SHARE CALCULATION*</w:t>
      </w:r>
      <w:r>
        <w:rPr>
          <w:rFonts w:ascii="Tahoma;Geneva;sans-serif" w:hAnsi="Tahoma;Geneva;sans-serif"/>
          <w:b/>
          <w:i w:val="false"/>
          <w:caps w:val="false"/>
          <w:smallCaps w:val="false"/>
          <w:color w:val="000000"/>
          <w:spacing w:val="8"/>
          <w:sz w:val="40"/>
          <w:shd w:fill="FFFFFF" w:val="clear"/>
        </w:rPr>
        <w:t xml:space="preserve"> </w:t>
      </w:r>
    </w:p>
    <w:tbl>
      <w:tblPr>
        <w:tblW w:w="9272" w:type="dxa"/>
        <w:jc w:val="left"/>
        <w:tblInd w:w="893" w:type="dxa"/>
        <w:tblLayout w:type="fixed"/>
        <w:tblCellMar>
          <w:top w:w="0" w:type="dxa"/>
          <w:left w:w="0" w:type="dxa"/>
          <w:bottom w:w="28" w:type="dxa"/>
          <w:right w:w="0" w:type="dxa"/>
        </w:tblCellMar>
      </w:tblPr>
      <w:tblGrid>
        <w:gridCol w:w="124"/>
        <w:gridCol w:w="5679"/>
        <w:gridCol w:w="109"/>
        <w:gridCol w:w="109"/>
        <w:gridCol w:w="1441"/>
        <w:gridCol w:w="109"/>
        <w:gridCol w:w="109"/>
        <w:gridCol w:w="1436"/>
        <w:gridCol w:w="156"/>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567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3095" w:type="dxa"/>
            <w:gridSpan w:val="4"/>
            <w:tcBorders>
              <w:bottom w:val="single" w:sz="2" w:space="0" w:color="FFFFFF"/>
            </w:tcBorders>
            <w:shd w:fill="000000" w:val="clear"/>
            <w:tcMar>
              <w:bottom w:w="50" w:type="dxa"/>
            </w:tcMar>
            <w:vAlign w:val="center"/>
          </w:tcPr>
          <w:p>
            <w:pPr>
              <w:pStyle w:val="TableContents"/>
              <w:bidi w:val="0"/>
              <w:spacing w:before="0" w:after="0"/>
              <w:jc w:val="center"/>
              <w:rPr/>
            </w:pPr>
            <w:r>
              <w:rPr/>
              <w:t xml:space="preserve">Year Ended </w:t>
            </w:r>
          </w:p>
        </w:tc>
        <w:tc>
          <w:tcPr>
            <w:tcW w:w="156" w:type="dxa"/>
            <w:tcBorders>
              <w:bottom w:val="single" w:sz="2" w:space="0" w:color="000000"/>
            </w:tcBorders>
            <w:shd w:fill="000000" w:val="clear"/>
            <w:vAlign w:val="center"/>
          </w:tcPr>
          <w:p>
            <w:pPr>
              <w:pStyle w:val="TableContents"/>
              <w:bidi w:val="0"/>
              <w:spacing w:before="0" w:after="283"/>
              <w:jc w:val="left"/>
              <w:rPr/>
            </w:pPr>
            <w:r>
              <w:rPr/>
              <w:t>​</w:t>
            </w:r>
          </w:p>
        </w:tc>
      </w:tr>
      <w:tr>
        <w:trPr/>
        <w:tc>
          <w:tcPr>
            <w:tcW w:w="124" w:type="dxa"/>
            <w:tcBorders/>
            <w:shd w:fill="000000" w:val="clear"/>
            <w:tcMar>
              <w:bottom w:w="0" w:type="dxa"/>
            </w:tcMar>
            <w:vAlign w:val="center"/>
          </w:tcPr>
          <w:p>
            <w:pPr>
              <w:pStyle w:val="TableContents"/>
              <w:bidi w:val="0"/>
              <w:spacing w:before="0" w:after="283"/>
              <w:jc w:val="left"/>
              <w:rPr/>
            </w:pPr>
            <w:r>
              <w:rPr/>
              <w:t>​</w:t>
            </w:r>
          </w:p>
        </w:tc>
        <w:tc>
          <w:tcPr>
            <w:tcW w:w="5679" w:type="dxa"/>
            <w:tcBorders/>
            <w:shd w:fill="000000" w:val="clear"/>
            <w:tcMar>
              <w:bottom w:w="0" w:type="dxa"/>
            </w:tcMar>
            <w:vAlign w:val="center"/>
          </w:tcPr>
          <w:p>
            <w:pPr>
              <w:pStyle w:val="TableContents"/>
              <w:bidi w:val="0"/>
              <w:spacing w:before="0" w:after="0"/>
              <w:jc w:val="left"/>
              <w:rPr/>
            </w:pPr>
            <w:r>
              <w:rPr/>
              <w:t xml:space="preserve">$ Millions, except per share amounts (unaudited)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441" w:type="dxa"/>
            <w:tcBorders/>
            <w:shd w:fill="000000" w:val="clear"/>
            <w:tcMar>
              <w:bottom w:w="0" w:type="dxa"/>
            </w:tcMar>
            <w:vAlign w:val="center"/>
          </w:tcPr>
          <w:p>
            <w:pPr>
              <w:pStyle w:val="TableContents"/>
              <w:bidi w:val="0"/>
              <w:spacing w:before="0" w:after="0"/>
              <w:jc w:val="center"/>
              <w:rPr/>
            </w:pPr>
            <w:r>
              <w:rPr/>
              <w:t xml:space="preserve">June 30, 2026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436" w:type="dxa"/>
            <w:tcBorders/>
            <w:shd w:fill="000000" w:val="clear"/>
            <w:tcMar>
              <w:bottom w:w="0" w:type="dxa"/>
            </w:tcMar>
            <w:vAlign w:val="center"/>
          </w:tcPr>
          <w:p>
            <w:pPr>
              <w:pStyle w:val="TableContents"/>
              <w:bidi w:val="0"/>
              <w:spacing w:lineRule="atLeast" w:line="142" w:before="0" w:after="0"/>
              <w:jc w:val="center"/>
              <w:rPr/>
            </w:pPr>
            <w:r>
              <w:rPr/>
              <w:t>June 30, 2025</w:t>
            </w:r>
            <w:r>
              <w:rPr>
                <w:sz w:val="10"/>
              </w:rPr>
              <w:t>1</w:t>
            </w:r>
          </w:p>
        </w:tc>
        <w:tc>
          <w:tcPr>
            <w:tcW w:w="156" w:type="dxa"/>
            <w:tcBorders/>
            <w:shd w:fill="000000"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679" w:type="dxa"/>
            <w:tcBorders>
              <w:bottom w:val="single" w:sz="2" w:space="0" w:color="666666"/>
            </w:tcBorders>
            <w:tcMar>
              <w:bottom w:w="88" w:type="dxa"/>
            </w:tcMar>
            <w:vAlign w:val="center"/>
          </w:tcPr>
          <w:p>
            <w:pPr>
              <w:pStyle w:val="TableContents"/>
              <w:bidi w:val="0"/>
              <w:spacing w:before="0" w:after="283"/>
              <w:jc w:val="left"/>
              <w:rPr/>
            </w:pPr>
            <w:r>
              <w:rPr>
                <w:spacing w:val="0"/>
              </w:rPr>
              <w:t>Numerator</w:t>
            </w:r>
            <w:r>
              <w:rPr/>
              <w:t xml:space="preserve">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441" w:type="dxa"/>
            <w:tcBorders>
              <w:bottom w:val="single" w:sz="2" w:space="0" w:color="666666"/>
            </w:tcBorders>
            <w:tcMar>
              <w:bottom w:w="88" w:type="dxa"/>
            </w:tcMar>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436" w:type="dxa"/>
            <w:tcBorders>
              <w:bottom w:val="single" w:sz="2" w:space="0" w:color="666666"/>
            </w:tcBorders>
            <w:tcMar>
              <w:bottom w:w="88" w:type="dxa"/>
            </w:tcMar>
            <w:vAlign w:val="center"/>
          </w:tcPr>
          <w:p>
            <w:pPr>
              <w:pStyle w:val="TableContents"/>
              <w:bidi w:val="0"/>
              <w:spacing w:before="0" w:after="283"/>
              <w:jc w:val="left"/>
              <w:rPr/>
            </w:pPr>
            <w:r>
              <w:rPr/>
              <w:t>​</w:t>
            </w:r>
          </w:p>
        </w:tc>
        <w:tc>
          <w:tcPr>
            <w:tcW w:w="156"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679" w:type="dxa"/>
            <w:tcBorders>
              <w:bottom w:val="single" w:sz="2" w:space="0" w:color="666666"/>
            </w:tcBorders>
            <w:tcMar>
              <w:bottom w:w="88" w:type="dxa"/>
            </w:tcMar>
            <w:vAlign w:val="center"/>
          </w:tcPr>
          <w:p>
            <w:pPr>
              <w:pStyle w:val="TableContents"/>
              <w:bidi w:val="0"/>
              <w:spacing w:before="0" w:after="0"/>
              <w:ind w:left="185" w:right="0" w:hanging="0"/>
              <w:jc w:val="left"/>
              <w:rPr>
                <w:spacing w:val="-1"/>
              </w:rPr>
            </w:pPr>
            <w:r>
              <w:rPr>
                <w:spacing w:val="-1"/>
              </w:rPr>
              <w:t xml:space="preserve">Net earnings attributable to Coherent Corp. on non-GAAP basis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44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$1,096.6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43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$692.6 </w:t>
            </w:r>
          </w:p>
        </w:tc>
        <w:tc>
          <w:tcPr>
            <w:tcW w:w="156"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679" w:type="dxa"/>
            <w:tcBorders>
              <w:bottom w:val="single" w:sz="2" w:space="0" w:color="666666"/>
            </w:tcBorders>
            <w:tcMar>
              <w:bottom w:w="88" w:type="dxa"/>
            </w:tcMar>
            <w:vAlign w:val="center"/>
          </w:tcPr>
          <w:p>
            <w:pPr>
              <w:pStyle w:val="TableContents"/>
              <w:bidi w:val="0"/>
              <w:spacing w:before="0" w:after="0"/>
              <w:ind w:left="185" w:right="0" w:hanging="0"/>
              <w:jc w:val="left"/>
              <w:rPr>
                <w:spacing w:val="-1"/>
              </w:rPr>
            </w:pPr>
            <w:r>
              <w:rPr>
                <w:spacing w:val="-1"/>
              </w:rPr>
              <w:t xml:space="preserve">Deduct Series B redeemable preferred dividends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44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(35.1)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43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(129.9) </w:t>
            </w:r>
          </w:p>
        </w:tc>
        <w:tc>
          <w:tcPr>
            <w:tcW w:w="156"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679" w:type="dxa"/>
            <w:tcBorders>
              <w:bottom w:val="single" w:sz="2" w:space="0" w:color="666666"/>
            </w:tcBorders>
            <w:tcMar>
              <w:bottom w:w="88" w:type="dxa"/>
            </w:tcMar>
            <w:vAlign w:val="center"/>
          </w:tcPr>
          <w:p>
            <w:pPr>
              <w:pStyle w:val="TableContents"/>
              <w:bidi w:val="0"/>
              <w:spacing w:before="0" w:after="283"/>
              <w:jc w:val="left"/>
              <w:rPr>
                <w:spacing w:val="0"/>
              </w:rPr>
            </w:pPr>
            <w:r>
              <w:rPr>
                <w:spacing w:val="0"/>
              </w:rPr>
              <w:t xml:space="preserve">Basic earnings available to common shareholders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441" w:type="dxa"/>
            <w:tcBorders>
              <w:bottom w:val="single" w:sz="2" w:space="0" w:color="666666"/>
            </w:tcBorders>
            <w:tcMar>
              <w:bottom w:w="88" w:type="dxa"/>
            </w:tcMar>
            <w:vAlign w:val="center"/>
          </w:tcPr>
          <w:p>
            <w:pPr>
              <w:pStyle w:val="TableContents"/>
              <w:bidi w:val="0"/>
              <w:spacing w:before="0" w:after="0"/>
              <w:jc w:val="center"/>
              <w:rPr>
                <w:spacing w:val="-2"/>
              </w:rPr>
            </w:pPr>
            <w:r>
              <w:rPr>
                <w:spacing w:val="-2"/>
              </w:rPr>
              <w:t xml:space="preserve">$1,061.5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436" w:type="dxa"/>
            <w:tcBorders>
              <w:bottom w:val="single" w:sz="2" w:space="0" w:color="666666"/>
            </w:tcBorders>
            <w:tcMar>
              <w:bottom w:w="88" w:type="dxa"/>
            </w:tcMar>
            <w:vAlign w:val="center"/>
          </w:tcPr>
          <w:p>
            <w:pPr>
              <w:pStyle w:val="TableContents"/>
              <w:bidi w:val="0"/>
              <w:spacing w:before="0" w:after="0"/>
              <w:jc w:val="center"/>
              <w:rPr>
                <w:spacing w:val="-2"/>
              </w:rPr>
            </w:pPr>
            <w:r>
              <w:rPr>
                <w:spacing w:val="-2"/>
              </w:rPr>
              <w:t xml:space="preserve">$562.6 </w:t>
            </w:r>
          </w:p>
        </w:tc>
        <w:tc>
          <w:tcPr>
            <w:tcW w:w="156"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679" w:type="dxa"/>
            <w:tcBorders>
              <w:bottom w:val="single" w:sz="2" w:space="0" w:color="666666"/>
            </w:tcBorders>
            <w:tcMar>
              <w:bottom w:w="88" w:type="dxa"/>
            </w:tcMar>
            <w:vAlign w:val="center"/>
          </w:tcPr>
          <w:p>
            <w:pPr>
              <w:pStyle w:val="TableContents"/>
              <w:bidi w:val="0"/>
              <w:spacing w:before="0" w:after="283"/>
              <w:jc w:val="left"/>
              <w:rPr/>
            </w:pPr>
            <w:r>
              <w:rPr/>
              <w:t>Effect of dilutive securities:</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441" w:type="dxa"/>
            <w:tcBorders>
              <w:bottom w:val="single" w:sz="2" w:space="0" w:color="666666"/>
            </w:tcBorders>
            <w:tcMar>
              <w:bottom w:w="88" w:type="dxa"/>
            </w:tcMar>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436" w:type="dxa"/>
            <w:tcBorders>
              <w:bottom w:val="single" w:sz="2" w:space="0" w:color="666666"/>
            </w:tcBorders>
            <w:tcMar>
              <w:bottom w:w="88" w:type="dxa"/>
            </w:tcMar>
            <w:vAlign w:val="center"/>
          </w:tcPr>
          <w:p>
            <w:pPr>
              <w:pStyle w:val="TableContents"/>
              <w:bidi w:val="0"/>
              <w:spacing w:before="0" w:after="283"/>
              <w:jc w:val="left"/>
              <w:rPr/>
            </w:pPr>
            <w:r>
              <w:rPr/>
              <w:t>​</w:t>
            </w:r>
          </w:p>
        </w:tc>
        <w:tc>
          <w:tcPr>
            <w:tcW w:w="156"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679" w:type="dxa"/>
            <w:tcBorders>
              <w:bottom w:val="single" w:sz="2" w:space="0" w:color="666666"/>
            </w:tcBorders>
            <w:tcMar>
              <w:bottom w:w="88" w:type="dxa"/>
            </w:tcMar>
            <w:vAlign w:val="center"/>
          </w:tcPr>
          <w:p>
            <w:pPr>
              <w:pStyle w:val="TableContents"/>
              <w:bidi w:val="0"/>
              <w:spacing w:before="0" w:after="0"/>
              <w:ind w:left="185" w:right="0" w:hanging="0"/>
              <w:jc w:val="left"/>
              <w:rPr>
                <w:spacing w:val="-1"/>
              </w:rPr>
            </w:pPr>
            <w:r>
              <w:rPr>
                <w:spacing w:val="-1"/>
              </w:rPr>
              <w:t xml:space="preserve">Add back Series B preferred dividends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44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35.1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436"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56"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679" w:type="dxa"/>
            <w:tcBorders>
              <w:bottom w:val="single" w:sz="2" w:space="0" w:color="666666"/>
            </w:tcBorders>
            <w:tcMar>
              <w:bottom w:w="88" w:type="dxa"/>
            </w:tcMar>
            <w:vAlign w:val="center"/>
          </w:tcPr>
          <w:p>
            <w:pPr>
              <w:pStyle w:val="TableContents"/>
              <w:bidi w:val="0"/>
              <w:spacing w:before="0" w:after="283"/>
              <w:jc w:val="left"/>
              <w:rPr>
                <w:spacing w:val="0"/>
              </w:rPr>
            </w:pPr>
            <w:r>
              <w:rPr>
                <w:spacing w:val="0"/>
              </w:rPr>
              <w:t xml:space="preserve">Diluted earnings available to common shareholders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441" w:type="dxa"/>
            <w:tcBorders>
              <w:bottom w:val="single" w:sz="2" w:space="0" w:color="666666"/>
            </w:tcBorders>
            <w:tcMar>
              <w:bottom w:w="88" w:type="dxa"/>
            </w:tcMar>
            <w:vAlign w:val="center"/>
          </w:tcPr>
          <w:p>
            <w:pPr>
              <w:pStyle w:val="TableContents"/>
              <w:bidi w:val="0"/>
              <w:spacing w:before="0" w:after="0"/>
              <w:jc w:val="center"/>
              <w:rPr>
                <w:spacing w:val="-2"/>
              </w:rPr>
            </w:pPr>
            <w:r>
              <w:rPr>
                <w:spacing w:val="-2"/>
              </w:rPr>
              <w:t xml:space="preserve">$1,096.6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436" w:type="dxa"/>
            <w:tcBorders>
              <w:bottom w:val="single" w:sz="2" w:space="0" w:color="666666"/>
            </w:tcBorders>
            <w:tcMar>
              <w:bottom w:w="88" w:type="dxa"/>
            </w:tcMar>
            <w:vAlign w:val="center"/>
          </w:tcPr>
          <w:p>
            <w:pPr>
              <w:pStyle w:val="TableContents"/>
              <w:bidi w:val="0"/>
              <w:spacing w:before="0" w:after="0"/>
              <w:jc w:val="center"/>
              <w:rPr>
                <w:spacing w:val="-2"/>
              </w:rPr>
            </w:pPr>
            <w:r>
              <w:rPr>
                <w:spacing w:val="-2"/>
              </w:rPr>
              <w:t xml:space="preserve">$562.6 </w:t>
            </w:r>
          </w:p>
        </w:tc>
        <w:tc>
          <w:tcPr>
            <w:tcW w:w="156"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679" w:type="dxa"/>
            <w:tcBorders>
              <w:bottom w:val="single" w:sz="2" w:space="0" w:color="666666"/>
            </w:tcBorders>
            <w:tcMar>
              <w:bottom w:w="88" w:type="dxa"/>
            </w:tcMar>
            <w:vAlign w:val="center"/>
          </w:tcPr>
          <w:p>
            <w:pPr>
              <w:pStyle w:val="TableContents"/>
              <w:bidi w:val="0"/>
              <w:spacing w:before="0" w:after="283"/>
              <w:jc w:val="left"/>
              <w:rPr>
                <w:spacing w:val="0"/>
              </w:rPr>
            </w:pPr>
            <w:r>
              <w:rPr>
                <w:spacing w:val="0"/>
              </w:rPr>
              <w:t xml:space="preserve">Denominator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441" w:type="dxa"/>
            <w:tcBorders>
              <w:bottom w:val="single" w:sz="2" w:space="0" w:color="666666"/>
            </w:tcBorders>
            <w:tcMar>
              <w:bottom w:w="88" w:type="dxa"/>
            </w:tcMar>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436" w:type="dxa"/>
            <w:tcBorders>
              <w:bottom w:val="single" w:sz="2" w:space="0" w:color="666666"/>
            </w:tcBorders>
            <w:tcMar>
              <w:bottom w:w="88" w:type="dxa"/>
            </w:tcMar>
            <w:vAlign w:val="center"/>
          </w:tcPr>
          <w:p>
            <w:pPr>
              <w:pStyle w:val="TableContents"/>
              <w:bidi w:val="0"/>
              <w:spacing w:before="0" w:after="283"/>
              <w:jc w:val="left"/>
              <w:rPr/>
            </w:pPr>
            <w:r>
              <w:rPr/>
              <w:t>​</w:t>
            </w:r>
          </w:p>
        </w:tc>
        <w:tc>
          <w:tcPr>
            <w:tcW w:w="156"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679" w:type="dxa"/>
            <w:tcBorders>
              <w:bottom w:val="single" w:sz="2" w:space="0" w:color="666666"/>
            </w:tcBorders>
            <w:tcMar>
              <w:bottom w:w="88" w:type="dxa"/>
            </w:tcMar>
            <w:vAlign w:val="center"/>
          </w:tcPr>
          <w:p>
            <w:pPr>
              <w:pStyle w:val="TableContents"/>
              <w:bidi w:val="0"/>
              <w:spacing w:before="0" w:after="283"/>
              <w:jc w:val="left"/>
              <w:rPr>
                <w:spacing w:val="-1"/>
              </w:rPr>
            </w:pPr>
            <w:r>
              <w:rPr>
                <w:spacing w:val="-1"/>
              </w:rPr>
              <w:t xml:space="preserve">Weighted average shares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44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177.3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43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154.8 </w:t>
            </w:r>
          </w:p>
        </w:tc>
        <w:tc>
          <w:tcPr>
            <w:tcW w:w="156"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679" w:type="dxa"/>
            <w:tcBorders>
              <w:bottom w:val="single" w:sz="2" w:space="0" w:color="666666"/>
            </w:tcBorders>
            <w:tcMar>
              <w:bottom w:w="88" w:type="dxa"/>
            </w:tcMar>
            <w:vAlign w:val="center"/>
          </w:tcPr>
          <w:p>
            <w:pPr>
              <w:pStyle w:val="TableContents"/>
              <w:bidi w:val="0"/>
              <w:spacing w:before="0" w:after="283"/>
              <w:jc w:val="left"/>
              <w:rPr/>
            </w:pPr>
            <w:r>
              <w:rPr/>
              <w:t>Effect of dilutive securities:</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441" w:type="dxa"/>
            <w:tcBorders>
              <w:bottom w:val="single" w:sz="2" w:space="0" w:color="666666"/>
            </w:tcBorders>
            <w:tcMar>
              <w:bottom w:w="88" w:type="dxa"/>
            </w:tcMar>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436" w:type="dxa"/>
            <w:tcBorders>
              <w:bottom w:val="single" w:sz="2" w:space="0" w:color="666666"/>
            </w:tcBorders>
            <w:tcMar>
              <w:bottom w:w="88" w:type="dxa"/>
            </w:tcMar>
            <w:vAlign w:val="center"/>
          </w:tcPr>
          <w:p>
            <w:pPr>
              <w:pStyle w:val="TableContents"/>
              <w:bidi w:val="0"/>
              <w:spacing w:before="0" w:after="283"/>
              <w:jc w:val="left"/>
              <w:rPr/>
            </w:pPr>
            <w:r>
              <w:rPr/>
              <w:t>​</w:t>
            </w:r>
          </w:p>
        </w:tc>
        <w:tc>
          <w:tcPr>
            <w:tcW w:w="156"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679" w:type="dxa"/>
            <w:tcBorders>
              <w:bottom w:val="single" w:sz="2" w:space="0" w:color="666666"/>
            </w:tcBorders>
            <w:tcMar>
              <w:bottom w:w="88" w:type="dxa"/>
            </w:tcMar>
            <w:vAlign w:val="center"/>
          </w:tcPr>
          <w:p>
            <w:pPr>
              <w:pStyle w:val="TableContents"/>
              <w:bidi w:val="0"/>
              <w:spacing w:before="0" w:after="0"/>
              <w:ind w:left="185" w:right="0" w:hanging="0"/>
              <w:jc w:val="left"/>
              <w:rPr>
                <w:spacing w:val="-1"/>
              </w:rPr>
            </w:pPr>
            <w:r>
              <w:rPr>
                <w:spacing w:val="-1"/>
              </w:rPr>
              <w:t xml:space="preserve">Common stock equivalents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44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5.7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436"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4.5 </w:t>
            </w:r>
          </w:p>
        </w:tc>
        <w:tc>
          <w:tcPr>
            <w:tcW w:w="156"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679" w:type="dxa"/>
            <w:tcBorders>
              <w:bottom w:val="single" w:sz="2" w:space="0" w:color="666666"/>
            </w:tcBorders>
            <w:tcMar>
              <w:bottom w:w="88" w:type="dxa"/>
            </w:tcMar>
            <w:vAlign w:val="center"/>
          </w:tcPr>
          <w:p>
            <w:pPr>
              <w:pStyle w:val="TableContents"/>
              <w:bidi w:val="0"/>
              <w:spacing w:before="0" w:after="0"/>
              <w:ind w:left="185" w:right="0" w:hanging="0"/>
              <w:jc w:val="left"/>
              <w:rPr>
                <w:spacing w:val="-1"/>
              </w:rPr>
            </w:pPr>
            <w:r>
              <w:rPr>
                <w:spacing w:val="-1"/>
              </w:rPr>
              <w:t xml:space="preserve">Series B Redeemable Preferred Stock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441" w:type="dxa"/>
            <w:tcBorders>
              <w:bottom w:val="single" w:sz="2" w:space="0" w:color="666666"/>
            </w:tcBorders>
            <w:tcMar>
              <w:bottom w:w="88" w:type="dxa"/>
            </w:tcMar>
            <w:vAlign w:val="center"/>
          </w:tcPr>
          <w:p>
            <w:pPr>
              <w:pStyle w:val="TableContents"/>
              <w:bidi w:val="0"/>
              <w:spacing w:before="0" w:after="0"/>
              <w:jc w:val="center"/>
              <w:rPr>
                <w:spacing w:val="-1"/>
              </w:rPr>
            </w:pPr>
            <w:r>
              <w:rPr>
                <w:spacing w:val="-1"/>
              </w:rPr>
              <w:t xml:space="preserve">12.4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436" w:type="dxa"/>
            <w:tcBorders>
              <w:bottom w:val="single" w:sz="2" w:space="0" w:color="666666"/>
            </w:tcBorders>
            <w:tcMar>
              <w:bottom w:w="88" w:type="dxa"/>
            </w:tcMar>
            <w:vAlign w:val="center"/>
          </w:tcPr>
          <w:p>
            <w:pPr>
              <w:pStyle w:val="TableContents"/>
              <w:bidi w:val="0"/>
              <w:spacing w:before="0" w:after="0"/>
              <w:jc w:val="center"/>
              <w:rPr/>
            </w:pPr>
            <w:r>
              <w:rPr>
                <w:spacing w:val="-1"/>
              </w:rPr>
              <w:t>—</w:t>
            </w:r>
            <w:r>
              <w:rPr/>
              <w:t xml:space="preserve"> </w:t>
            </w:r>
          </w:p>
        </w:tc>
        <w:tc>
          <w:tcPr>
            <w:tcW w:w="156"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679" w:type="dxa"/>
            <w:tcBorders>
              <w:bottom w:val="single" w:sz="2" w:space="0" w:color="666666"/>
            </w:tcBorders>
            <w:tcMar>
              <w:bottom w:w="88" w:type="dxa"/>
            </w:tcMar>
            <w:vAlign w:val="center"/>
          </w:tcPr>
          <w:p>
            <w:pPr>
              <w:pStyle w:val="TableContents"/>
              <w:bidi w:val="0"/>
              <w:spacing w:before="0" w:after="283"/>
              <w:jc w:val="left"/>
              <w:rPr>
                <w:spacing w:val="0"/>
              </w:rPr>
            </w:pPr>
            <w:r>
              <w:rPr>
                <w:spacing w:val="0"/>
              </w:rPr>
              <w:t xml:space="preserve">Diluted weighted average common shares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441" w:type="dxa"/>
            <w:tcBorders>
              <w:bottom w:val="single" w:sz="2" w:space="0" w:color="666666"/>
            </w:tcBorders>
            <w:tcMar>
              <w:bottom w:w="88" w:type="dxa"/>
            </w:tcMar>
            <w:vAlign w:val="center"/>
          </w:tcPr>
          <w:p>
            <w:pPr>
              <w:pStyle w:val="TableContents"/>
              <w:bidi w:val="0"/>
              <w:spacing w:before="0" w:after="0"/>
              <w:jc w:val="center"/>
              <w:rPr>
                <w:spacing w:val="-2"/>
              </w:rPr>
            </w:pPr>
            <w:r>
              <w:rPr>
                <w:spacing w:val="-2"/>
              </w:rPr>
              <w:t xml:space="preserve">195.4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436" w:type="dxa"/>
            <w:tcBorders>
              <w:bottom w:val="single" w:sz="2" w:space="0" w:color="666666"/>
            </w:tcBorders>
            <w:tcMar>
              <w:bottom w:w="88" w:type="dxa"/>
            </w:tcMar>
            <w:vAlign w:val="center"/>
          </w:tcPr>
          <w:p>
            <w:pPr>
              <w:pStyle w:val="TableContents"/>
              <w:bidi w:val="0"/>
              <w:spacing w:before="0" w:after="0"/>
              <w:jc w:val="center"/>
              <w:rPr>
                <w:spacing w:val="-2"/>
              </w:rPr>
            </w:pPr>
            <w:r>
              <w:rPr>
                <w:spacing w:val="-2"/>
              </w:rPr>
              <w:t xml:space="preserve">159.2 </w:t>
            </w:r>
          </w:p>
        </w:tc>
        <w:tc>
          <w:tcPr>
            <w:tcW w:w="156"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679" w:type="dxa"/>
            <w:tcBorders>
              <w:bottom w:val="single" w:sz="2" w:space="0" w:color="666666"/>
            </w:tcBorders>
            <w:tcMar>
              <w:bottom w:w="88" w:type="dxa"/>
            </w:tcMar>
            <w:vAlign w:val="center"/>
          </w:tcPr>
          <w:p>
            <w:pPr>
              <w:pStyle w:val="TableContents"/>
              <w:bidi w:val="0"/>
              <w:spacing w:before="0" w:after="283"/>
              <w:jc w:val="left"/>
              <w:rPr>
                <w:spacing w:val="0"/>
              </w:rPr>
            </w:pPr>
            <w:r>
              <w:rPr>
                <w:spacing w:val="0"/>
              </w:rPr>
              <w:t xml:space="preserve">Basic earnings per common share on non-GAAP basis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441" w:type="dxa"/>
            <w:tcBorders>
              <w:bottom w:val="single" w:sz="2" w:space="0" w:color="666666"/>
            </w:tcBorders>
            <w:tcMar>
              <w:bottom w:w="88" w:type="dxa"/>
            </w:tcMar>
            <w:vAlign w:val="center"/>
          </w:tcPr>
          <w:p>
            <w:pPr>
              <w:pStyle w:val="TableContents"/>
              <w:bidi w:val="0"/>
              <w:spacing w:before="0" w:after="0"/>
              <w:jc w:val="center"/>
              <w:rPr>
                <w:spacing w:val="-2"/>
              </w:rPr>
            </w:pPr>
            <w:r>
              <w:rPr>
                <w:spacing w:val="-2"/>
              </w:rPr>
              <w:t xml:space="preserve">$5.99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436" w:type="dxa"/>
            <w:tcBorders>
              <w:bottom w:val="single" w:sz="2" w:space="0" w:color="666666"/>
            </w:tcBorders>
            <w:tcMar>
              <w:bottom w:w="88" w:type="dxa"/>
            </w:tcMar>
            <w:vAlign w:val="center"/>
          </w:tcPr>
          <w:p>
            <w:pPr>
              <w:pStyle w:val="TableContents"/>
              <w:bidi w:val="0"/>
              <w:spacing w:before="0" w:after="0"/>
              <w:jc w:val="center"/>
              <w:rPr>
                <w:spacing w:val="-2"/>
              </w:rPr>
            </w:pPr>
            <w:r>
              <w:rPr>
                <w:spacing w:val="-2"/>
              </w:rPr>
              <w:t xml:space="preserve">$3.64 </w:t>
            </w:r>
          </w:p>
        </w:tc>
        <w:tc>
          <w:tcPr>
            <w:tcW w:w="156" w:type="dxa"/>
            <w:tcBorders>
              <w:bottom w:val="single" w:sz="2" w:space="0" w:color="666666"/>
            </w:tcBorders>
            <w:vAlign w:val="center"/>
          </w:tcPr>
          <w:p>
            <w:pPr>
              <w:pStyle w:val="TableContents"/>
              <w:bidi w:val="0"/>
              <w:spacing w:before="0" w:after="283"/>
              <w:jc w:val="left"/>
              <w:rPr/>
            </w:pPr>
            <w:r>
              <w:rPr/>
              <w:t>​</w:t>
            </w:r>
          </w:p>
        </w:tc>
      </w:tr>
      <w:tr>
        <w:trPr/>
        <w:tc>
          <w:tcPr>
            <w:tcW w:w="124" w:type="dxa"/>
            <w:tcBorders>
              <w:bottom w:val="single" w:sz="2" w:space="0" w:color="666666"/>
            </w:tcBorders>
            <w:vAlign w:val="center"/>
          </w:tcPr>
          <w:p>
            <w:pPr>
              <w:pStyle w:val="TableContents"/>
              <w:bidi w:val="0"/>
              <w:spacing w:before="0" w:after="283"/>
              <w:jc w:val="left"/>
              <w:rPr/>
            </w:pPr>
            <w:r>
              <w:rPr/>
              <w:t>​</w:t>
            </w:r>
          </w:p>
        </w:tc>
        <w:tc>
          <w:tcPr>
            <w:tcW w:w="5679" w:type="dxa"/>
            <w:tcBorders>
              <w:bottom w:val="single" w:sz="2" w:space="0" w:color="666666"/>
            </w:tcBorders>
            <w:tcMar>
              <w:bottom w:w="88" w:type="dxa"/>
            </w:tcMar>
            <w:vAlign w:val="center"/>
          </w:tcPr>
          <w:p>
            <w:pPr>
              <w:pStyle w:val="TableContents"/>
              <w:bidi w:val="0"/>
              <w:spacing w:before="0" w:after="283"/>
              <w:jc w:val="left"/>
              <w:rPr>
                <w:spacing w:val="0"/>
              </w:rPr>
            </w:pPr>
            <w:r>
              <w:rPr>
                <w:spacing w:val="0"/>
              </w:rPr>
              <w:t xml:space="preserve">Diluted earnings per common share on non-GAAP basis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441" w:type="dxa"/>
            <w:tcBorders>
              <w:bottom w:val="single" w:sz="2" w:space="0" w:color="666666"/>
            </w:tcBorders>
            <w:tcMar>
              <w:bottom w:w="88" w:type="dxa"/>
            </w:tcMar>
            <w:vAlign w:val="center"/>
          </w:tcPr>
          <w:p>
            <w:pPr>
              <w:pStyle w:val="TableContents"/>
              <w:bidi w:val="0"/>
              <w:spacing w:before="0" w:after="0"/>
              <w:jc w:val="center"/>
              <w:rPr>
                <w:spacing w:val="-2"/>
              </w:rPr>
            </w:pPr>
            <w:r>
              <w:rPr>
                <w:spacing w:val="-2"/>
              </w:rPr>
              <w:t xml:space="preserve">$5.61 </w:t>
            </w:r>
          </w:p>
        </w:tc>
        <w:tc>
          <w:tcPr>
            <w:tcW w:w="109" w:type="dxa"/>
            <w:tcBorders>
              <w:bottom w:val="single" w:sz="2" w:space="0" w:color="666666"/>
            </w:tcBorders>
            <w:vAlign w:val="center"/>
          </w:tcPr>
          <w:p>
            <w:pPr>
              <w:pStyle w:val="TableContents"/>
              <w:bidi w:val="0"/>
              <w:spacing w:before="0" w:after="283"/>
              <w:jc w:val="left"/>
              <w:rPr/>
            </w:pPr>
            <w:r>
              <w:rPr/>
              <w:t>​</w:t>
            </w:r>
          </w:p>
        </w:tc>
        <w:tc>
          <w:tcPr>
            <w:tcW w:w="109" w:type="dxa"/>
            <w:tcBorders>
              <w:bottom w:val="single" w:sz="2" w:space="0" w:color="666666"/>
            </w:tcBorders>
            <w:vAlign w:val="center"/>
          </w:tcPr>
          <w:p>
            <w:pPr>
              <w:pStyle w:val="TableContents"/>
              <w:bidi w:val="0"/>
              <w:spacing w:before="0" w:after="283"/>
              <w:jc w:val="left"/>
              <w:rPr/>
            </w:pPr>
            <w:r>
              <w:rPr/>
              <w:t>​</w:t>
            </w:r>
          </w:p>
        </w:tc>
        <w:tc>
          <w:tcPr>
            <w:tcW w:w="1436" w:type="dxa"/>
            <w:tcBorders>
              <w:bottom w:val="single" w:sz="2" w:space="0" w:color="666666"/>
            </w:tcBorders>
            <w:tcMar>
              <w:bottom w:w="88" w:type="dxa"/>
            </w:tcMar>
            <w:vAlign w:val="center"/>
          </w:tcPr>
          <w:p>
            <w:pPr>
              <w:pStyle w:val="TableContents"/>
              <w:bidi w:val="0"/>
              <w:spacing w:before="0" w:after="0"/>
              <w:jc w:val="center"/>
              <w:rPr/>
            </w:pPr>
            <w:r>
              <w:rPr>
                <w:spacing w:val="-2"/>
              </w:rPr>
              <w:t>$3.53</w:t>
            </w:r>
            <w:r>
              <w:rPr/>
              <w:t xml:space="preserve"> </w:t>
            </w:r>
          </w:p>
        </w:tc>
        <w:tc>
          <w:tcPr>
            <w:tcW w:w="156" w:type="dxa"/>
            <w:tcBorders>
              <w:bottom w:val="single" w:sz="2" w:space="0" w:color="666666"/>
            </w:tcBorders>
            <w:vAlign w:val="center"/>
          </w:tcPr>
          <w:p>
            <w:pPr>
              <w:pStyle w:val="TableContents"/>
              <w:bidi w:val="0"/>
              <w:spacing w:before="0" w:after="283"/>
              <w:jc w:val="left"/>
              <w:rPr/>
            </w:pPr>
            <w:r>
              <w:rPr/>
              <w:t>​</w:t>
            </w:r>
          </w:p>
        </w:tc>
      </w:tr>
    </w:tbl>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20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Amounts may not recalculate due to rounding.</w:t>
      </w:r>
      <w:r>
        <w:rPr>
          <w:rFonts w:ascii="Arial;Helvetica;sans-serif" w:hAnsi="Arial;Helvetica;sans-serif"/>
          <w:b w:val="false"/>
          <w:i w:val="false"/>
          <w:caps w:val="false"/>
          <w:smallCaps w:val="false"/>
          <w:color w:val="000000"/>
          <w:spacing w:val="3"/>
          <w:sz w:val="14"/>
          <w:shd w:fill="FFFFFF" w:val="clear"/>
        </w:rPr>
        <w:t xml:space="preserve"> </w:t>
      </w:r>
      <w:r>
        <mc:AlternateContent>
          <mc:Choice Requires="wps">
            <w:drawing>
              <wp:anchor behindDoc="0" distT="127000" distB="0" distL="0" distR="0" simplePos="0" locked="0" layoutInCell="1" allowOverlap="1" relativeHeight="448">
                <wp:simplePos x="0" y="0"/>
                <wp:positionH relativeFrom="column">
                  <wp:align>left</wp:align>
                </wp:positionH>
                <wp:positionV relativeFrom="line">
                  <wp:align>top</wp:align>
                </wp:positionV>
                <wp:extent cx="203200" cy="204470"/>
                <wp:effectExtent l="0" t="0" r="0" b="0"/>
                <wp:wrapSquare wrapText="right"/>
                <wp:docPr id="465" name="Frame238"/>
                <a:graphic xmlns:a="http://schemas.openxmlformats.org/drawingml/2006/main">
                  <a:graphicData uri="http://schemas.microsoft.com/office/word/2010/wordprocessingShape">
                    <wps:wsp>
                      <wps:cNvSpPr txBox="1"/>
                      <wps:spPr>
                        <a:xfrm>
                          <a:off x="0" y="0"/>
                          <a:ext cx="203200" cy="204470"/>
                        </a:xfrm>
                        <a:prstGeom prst="rect"/>
                        <a:solidFill>
                          <a:srgbClr val="FFFFFF"/>
                        </a:solidFill>
                      </wps:spPr>
                      <wps:txbx>
                        <w:txbxContent>
                          <w:p>
                            <w:pPr>
                              <w:pStyle w:val="TextBody"/>
                              <w:bidi w:val="0"/>
                              <w:spacing w:before="0" w:after="283"/>
                              <w:jc w:val="left"/>
                              <w:rPr>
                                <w:sz w:val="14"/>
                              </w:rPr>
                            </w:pPr>
                            <w:r>
                              <w:rPr>
                                <w:spacing w:val="-1"/>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16pt;height:16.1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before="0" w:after="283"/>
                        <w:jc w:val="left"/>
                        <w:rPr>
                          <w:sz w:val="14"/>
                        </w:rPr>
                      </w:pPr>
                      <w:r>
                        <w:rPr>
                          <w:spacing w:val="-1"/>
                          <w:sz w:val="14"/>
                        </w:rPr>
                        <w:t>*</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180" w:before="80" w:after="0"/>
        <w:ind w:left="1213" w:right="40" w:hanging="0"/>
        <w:jc w:val="left"/>
        <w:rPr>
          <w:rFonts w:ascii="Arial;Helvetica;sans-serif" w:hAnsi="Arial;Helvetica;sans-serif"/>
          <w:b w:val="false"/>
          <w:i w:val="false"/>
          <w:caps w:val="false"/>
          <w:smallCaps w:val="false"/>
          <w:color w:val="000000"/>
          <w:sz w:val="14"/>
          <w:shd w:fill="FFFFFF" w:val="clear"/>
        </w:rPr>
      </w:pPr>
      <w:r>
        <w:rPr>
          <w:rFonts w:ascii="Arial;Helvetica;sans-serif" w:hAnsi="Arial;Helvetica;sans-serif"/>
          <w:b w:val="false"/>
          <w:i w:val="false"/>
          <w:caps w:val="false"/>
          <w:smallCaps w:val="false"/>
          <w:color w:val="000000"/>
          <w:spacing w:val="-1"/>
          <w:sz w:val="14"/>
          <w:shd w:fill="FFFFFF" w:val="clear"/>
        </w:rPr>
        <w:t>During the second fiscal quarter of 2025, the Company refined its methodology to report non-GAAP measures. The change does not impact the Company’s financial position, cash flows, or GAAP consolidated results of operations. Prior period non-GAAP financial measures presented in this press release have been recast to conform to the current presentation.</w:t>
      </w:r>
      <w:r>
        <w:rPr>
          <w:rFonts w:ascii="Arial;Helvetica;sans-serif" w:hAnsi="Arial;Helvetica;sans-serif"/>
          <w:b w:val="false"/>
          <w:i w:val="false"/>
          <w:caps w:val="false"/>
          <w:smallCaps w:val="false"/>
          <w:color w:val="000000"/>
          <w:sz w:val="14"/>
          <w:shd w:fill="FFFFFF" w:val="clear"/>
        </w:rPr>
        <w:t xml:space="preserve"> </w:t>
      </w:r>
      <w:r>
        <mc:AlternateContent>
          <mc:Choice Requires="wps">
            <w:drawing>
              <wp:anchor behindDoc="0" distT="50800" distB="0" distL="0" distR="0" simplePos="0" locked="0" layoutInCell="1" allowOverlap="1" relativeHeight="449">
                <wp:simplePos x="0" y="0"/>
                <wp:positionH relativeFrom="column">
                  <wp:align>left</wp:align>
                </wp:positionH>
                <wp:positionV relativeFrom="line">
                  <wp:align>top</wp:align>
                </wp:positionV>
                <wp:extent cx="203200" cy="228600"/>
                <wp:effectExtent l="0" t="0" r="0" b="0"/>
                <wp:wrapSquare wrapText="right"/>
                <wp:docPr id="466" name="Frame239"/>
                <a:graphic xmlns:a="http://schemas.openxmlformats.org/drawingml/2006/main">
                  <a:graphicData uri="http://schemas.microsoft.com/office/word/2010/wordprocessingShape">
                    <wps:wsp>
                      <wps:cNvSpPr txBox="1"/>
                      <wps:spPr>
                        <a:xfrm>
                          <a:off x="0" y="0"/>
                          <a:ext cx="2032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16pt;height:18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8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893" w:right="40" w:hanging="0"/>
        <w:jc w:val="center"/>
        <w:rPr>
          <w:caps w:val="false"/>
          <w:smallCaps w:val="false"/>
          <w:color w:val="000000"/>
          <w:shd w:fill="FFFFFF" w:val="clear"/>
        </w:rPr>
      </w:pPr>
      <w:r>
        <w:rPr>
          <w:caps w:val="false"/>
          <w:smallCaps w:val="false"/>
          <w:color w:val="000000"/>
          <w:spacing w:val="-2"/>
          <w:shd w:fill="FFFFFF" w:val="clear"/>
        </w:rPr>
        <w:t> </w:t>
      </w:r>
      <w:r>
        <w:rPr>
          <w:caps w:val="false"/>
          <w:smallCaps w:val="false"/>
          <w:color w:val="000000"/>
          <w:shd w:fill="FFFFFF" w:val="clear"/>
        </w:rPr>
        <w:t xml:space="preserve"> </w:t>
      </w:r>
    </w:p>
    <w:p>
      <w:pPr>
        <w:pStyle w:val="TextBody"/>
        <w:bidi w:val="0"/>
        <w:spacing w:lineRule="atLeast" w:line="260" w:before="100" w:after="283"/>
        <w:ind w:left="893" w:right="40" w:hanging="0"/>
        <w:jc w:val="left"/>
        <w:rPr>
          <w:rFonts w:ascii="Tahoma;Geneva;sans-serif" w:hAnsi="Tahoma;Geneva;sans-serif"/>
          <w:b/>
          <w:i w:val="false"/>
          <w:caps w:val="false"/>
          <w:smallCaps w:val="false"/>
          <w:color w:val="000000"/>
          <w:sz w:val="22"/>
          <w:shd w:fill="FFFFFF" w:val="clear"/>
        </w:rPr>
      </w:pPr>
      <w:r>
        <w:rPr>
          <w:rFonts w:ascii="Tahoma;Geneva;sans-serif" w:hAnsi="Tahoma;Geneva;sans-serif"/>
          <w:b/>
          <w:i w:val="false"/>
          <w:caps w:val="false"/>
          <w:smallCaps w:val="false"/>
          <w:color w:val="0068C7"/>
          <w:sz w:val="22"/>
          <w:shd w:fill="FFFFFF" w:val="clear"/>
        </w:rPr>
        <w:t>94</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2"/>
          <w:shd w:fill="FFFFFF" w:val="clear"/>
        </w:rPr>
        <w:t>|</w:t>
      </w:r>
      <w:r>
        <w:rPr>
          <w:rFonts w:ascii="Tahoma;Geneva;sans-serif" w:hAnsi="Tahoma;Geneva;sans-serif"/>
          <w:b/>
          <w:i w:val="false"/>
          <w:caps w:val="false"/>
          <w:smallCaps w:val="false"/>
          <w:color w:val="000000"/>
          <w:sz w:val="22"/>
          <w:shd w:fill="FFFFFF" w:val="clear"/>
        </w:rPr>
        <w:t>   </w:t>
      </w:r>
      <w:r>
        <w:rPr>
          <w:rFonts w:ascii="Tahoma;Geneva;sans-serif" w:hAnsi="Tahoma;Geneva;sans-serif"/>
          <w:b/>
          <w:i w:val="false"/>
          <w:caps w:val="false"/>
          <w:smallCaps w:val="false"/>
          <w:color w:val="000000"/>
          <w:sz w:val="16"/>
          <w:shd w:fill="FFFFFF" w:val="clear"/>
        </w:rPr>
        <w:t>COHERENT PROXY STATEMENT 2026</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before="0" w:after="0"/>
        <w:ind w:left="0" w:right="40" w:hanging="0"/>
        <w:jc w:val="center"/>
        <w:rPr>
          <w:caps w:val="false"/>
          <w:smallCaps w:val="false"/>
          <w:color w:val="000000"/>
          <w:shd w:fill="FFFFFF" w:val="clear"/>
        </w:rPr>
      </w:pPr>
      <w:r>
        <w:rPr>
          <w:caps w:val="false"/>
          <w:smallCaps w:val="false"/>
          <w:color w:val="000000"/>
          <w:shd w:fill="FFFFFF" w:val="clear"/>
        </w:rPr>
        <w:drawing>
          <wp:inline distT="0" distB="0" distL="0" distR="0">
            <wp:extent cx="8001000" cy="10287000"/>
            <wp:effectExtent l="0" t="0" r="0" b="0"/>
            <wp:docPr id="467"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Image207" descr=""/>
                    <pic:cNvPicPr>
                      <a:picLocks noChangeAspect="1" noChangeArrowheads="1"/>
                    </pic:cNvPicPr>
                  </pic:nvPicPr>
                  <pic:blipFill>
                    <a:blip r:embed="rId229"/>
                    <a:stretch>
                      <a:fillRect/>
                    </a:stretch>
                  </pic:blipFill>
                  <pic:spPr bwMode="auto">
                    <a:xfrm>
                      <a:off x="0" y="0"/>
                      <a:ext cx="8001000" cy="10287000"/>
                    </a:xfrm>
                    <a:prstGeom prst="rect">
                      <a:avLst/>
                    </a:prstGeom>
                  </pic:spPr>
                </pic:pic>
              </a:graphicData>
            </a:graphic>
          </wp:inline>
        </w:drawing>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before="0" w:after="0"/>
        <w:ind w:left="0" w:right="40" w:hanging="0"/>
        <w:jc w:val="center"/>
        <w:rPr>
          <w:caps w:val="false"/>
          <w:smallCaps w:val="false"/>
          <w:color w:val="FFFFFF"/>
          <w:shd w:fill="FFFFFF" w:val="clear"/>
        </w:rPr>
      </w:pPr>
      <w:r>
        <w:rPr>
          <w:caps w:val="false"/>
          <w:smallCaps w:val="false"/>
          <w:color w:val="FFFFFF"/>
          <w:shd w:fill="FFFFFF" w:val="clear"/>
        </w:rPr>
        <w:drawing>
          <wp:inline distT="0" distB="0" distL="0" distR="0">
            <wp:extent cx="7772400" cy="10058400"/>
            <wp:effectExtent l="0" t="0" r="0" b="0"/>
            <wp:docPr id="468"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Image208" descr=""/>
                    <pic:cNvPicPr>
                      <a:picLocks noChangeAspect="1" noChangeArrowheads="1"/>
                    </pic:cNvPicPr>
                  </pic:nvPicPr>
                  <pic:blipFill>
                    <a:blip r:embed="rId230"/>
                    <a:stretch>
                      <a:fillRect/>
                    </a:stretch>
                  </pic:blipFill>
                  <pic:spPr bwMode="auto">
                    <a:xfrm>
                      <a:off x="0" y="0"/>
                      <a:ext cx="7772400" cy="10058400"/>
                    </a:xfrm>
                    <a:prstGeom prst="rect">
                      <a:avLst/>
                    </a:prstGeom>
                  </pic:spPr>
                </pic:pic>
              </a:graphicData>
            </a:graphic>
          </wp:inline>
        </w:drawing>
      </w:r>
      <w:r>
        <w:rPr>
          <w:caps w:val="false"/>
          <w:smallCaps w:val="false"/>
          <w:color w:val="FFFFFF"/>
          <w:shd w:fill="FFFFFF" w:val="clear"/>
        </w:rPr>
        <w:t xml:space="preserve"> </w:t>
      </w:r>
    </w:p>
    <w:p>
      <w:pPr>
        <w:pStyle w:val="TextBody"/>
        <w:bidi w:val="0"/>
        <w:spacing w:lineRule="atLeast" w:line="142" w:before="135" w:after="283"/>
        <w:jc w:val="left"/>
        <w:rPr>
          <w:rFonts w:ascii="Arial;Helvetica;sans-serif" w:hAnsi="Arial;Helvetica;sans-serif"/>
          <w:b w:val="false"/>
          <w:i w:val="false"/>
          <w:caps w:val="false"/>
          <w:smallCaps w:val="false"/>
          <w:color w:val="FFFFFF"/>
          <w:sz w:val="2"/>
          <w:shd w:fill="FFFFFF" w:val="clear"/>
        </w:rPr>
      </w:pPr>
      <w:r>
        <w:rPr>
          <w:rFonts w:ascii="Arial;Helvetica;sans-serif" w:hAnsi="Arial;Helvetica;sans-serif"/>
          <w:b w:val="false"/>
          <w:i w:val="false"/>
          <w:caps w:val="false"/>
          <w:smallCaps w:val="false"/>
          <w:color w:val="FFFFFF"/>
          <w:spacing w:val="0"/>
          <w:sz w:val="2"/>
          <w:shd w:fill="FFFFFF" w:val="clear"/>
        </w:rPr>
        <w:t>SCAN TOVIEW MATERIALS &amp; VOTE COHERENT CORP.VOTE BY INTERNET375 SAXONBURG BOULEVARDBefore The Meeting - Go to www.proxyvote.com or scan the QR Barcode aboveSAXONBURG, PA 16056-9499Use the Internet to transmit your voting instructions and for electronic delivery of informationup until 11:59 P.M. Eastern Time the day before the meeting date. Have your proxy card inhand when you access the web site and follow the instructions to obtain your records and tocreate an electronic voting instruction form.During The Meeting - Go to www.virtualshareholdermeeting.com/COHR2026You may attend the Meeting via the Internet and vote during the Meeting. Have the informationthat is printed in the box marked by the arrow available and follow the instructions.VOTE BY PHONE - 1-800-690-6903Use any touch-tone telephone to transmit your voting instructions up until 11:59 P.M.Eastern Time the day before the meeting date. Have your proxy card in hand when you calland then follow the instructions.VOTE BY MAILMark, sign and date your proxy card and return it in the postage-paid envelope wehave provided or return it to Vote Processing, c/o Broadridge, 51 Mercedes Way,Edgewood, NY 11717.TO VOTE, MARK BLOCKS BELOW IN BLUE OR BLACK INK AS FOLLOWS:T04183-Z93966KEEP THIS PORTION FOR YOUR RECORDSTHIS PROXY CARD IS VALID ONLY WHEN SIGNED AND DATED.DETACH AND RETURN THIS PORTION ONLYCOHERENT CORP. THE BOARD OF DIRECTORS RECOMMENDS A VOTE "FOR"PROPOSALS NUMBERED 1. a., b., c., d., 2 AND 3.1.Election of the Class Three Directors nominated by the Board of Directors for a three-year term to expire at the annual meeting of shareholders in 2029.ForAgainstAbstainNominees:1a.Joseph J. Corasanti!!!1b.Patricia Hatter!!!1c.Stephen A. Skaggs!!!1d.Sandeep Vij!!!2.Non-binding advisory vote to approve compensation paid to named executive officers in fiscal year 2026. 3.Ratification of the Audit and Risk Committee’s selection of Ernst &amp; Young LLP as the Company’s Independent registered public accounting firm for the fiscal year ending June 30, 2027. For Against Abstain! ! !! ! ! NOTE: Such other business as may properly come before the meeting or any adjournment thereof.PLEASE MARK, SIGN, DATE AND RETURN IMMEDIATELY.Important: Shareholders sign here exactly as name appears hereon.Signature [PLEASE SIGN WITHIN BOX]DateSignature (Joint Owners)Date</w:t>
      </w:r>
      <w:r>
        <w:rPr>
          <w:rFonts w:ascii="Arial;Helvetica;sans-serif" w:hAnsi="Arial;Helvetica;sans-serif"/>
          <w:b w:val="false"/>
          <w:i w:val="false"/>
          <w:caps w:val="false"/>
          <w:smallCaps w:val="false"/>
          <w:color w:val="FFFFFF"/>
          <w:sz w:val="2"/>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before="180" w:after="283"/>
        <w:ind w:left="0" w:right="40" w:hanging="0"/>
        <w:jc w:val="center"/>
        <w:rPr>
          <w:caps w:val="false"/>
          <w:smallCaps w:val="false"/>
          <w:color w:val="FFFFFF"/>
          <w:shd w:fill="FFFFFF" w:val="clear"/>
        </w:rPr>
      </w:pPr>
      <w:r>
        <w:rPr>
          <w:caps w:val="false"/>
          <w:smallCaps w:val="false"/>
          <w:color w:val="FFFFFF"/>
          <w:shd w:fill="FFFFFF" w:val="clear"/>
        </w:rPr>
        <w:drawing>
          <wp:inline distT="0" distB="0" distL="0" distR="0">
            <wp:extent cx="7772400" cy="10058400"/>
            <wp:effectExtent l="0" t="0" r="0" b="0"/>
            <wp:docPr id="469"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Image209" descr=""/>
                    <pic:cNvPicPr>
                      <a:picLocks noChangeAspect="1" noChangeArrowheads="1"/>
                    </pic:cNvPicPr>
                  </pic:nvPicPr>
                  <pic:blipFill>
                    <a:blip r:embed="rId231"/>
                    <a:stretch>
                      <a:fillRect/>
                    </a:stretch>
                  </pic:blipFill>
                  <pic:spPr bwMode="auto">
                    <a:xfrm>
                      <a:off x="0" y="0"/>
                      <a:ext cx="7772400" cy="10058400"/>
                    </a:xfrm>
                    <a:prstGeom prst="rect">
                      <a:avLst/>
                    </a:prstGeom>
                  </pic:spPr>
                </pic:pic>
              </a:graphicData>
            </a:graphic>
          </wp:inline>
        </w:drawing>
      </w:r>
      <w:r>
        <w:rPr>
          <w:caps w:val="false"/>
          <w:smallCaps w:val="false"/>
          <w:color w:val="FFFFFF"/>
          <w:shd w:fill="FFFFFF" w:val="clear"/>
        </w:rPr>
        <w:t xml:space="preserve"> </w:t>
      </w:r>
    </w:p>
    <w:p>
      <w:pPr>
        <w:pStyle w:val="TextBody"/>
        <w:bidi w:val="0"/>
        <w:spacing w:lineRule="atLeast" w:line="142" w:before="135" w:after="283"/>
        <w:jc w:val="left"/>
        <w:rPr>
          <w:rFonts w:ascii="Arial;Helvetica;sans-serif" w:hAnsi="Arial;Helvetica;sans-serif"/>
          <w:b w:val="false"/>
          <w:i w:val="false"/>
          <w:caps w:val="false"/>
          <w:smallCaps w:val="false"/>
          <w:color w:val="FFFFFF"/>
          <w:sz w:val="2"/>
          <w:shd w:fill="FFFFFF" w:val="clear"/>
        </w:rPr>
      </w:pPr>
      <w:r>
        <w:rPr>
          <w:rFonts w:ascii="Arial;Helvetica;sans-serif" w:hAnsi="Arial;Helvetica;sans-serif"/>
          <w:b w:val="false"/>
          <w:i w:val="false"/>
          <w:caps w:val="false"/>
          <w:smallCaps w:val="false"/>
          <w:color w:val="FFFFFF"/>
          <w:spacing w:val="0"/>
          <w:sz w:val="2"/>
          <w:shd w:fill="FFFFFF" w:val="clear"/>
        </w:rPr>
        <w:t>Important Notice Regarding Internet Availability of Proxy Materials for the Annual Meeting to be held on November 18, 2026: The Notice and Proxy Statement and Annual Report to Shareholders are available at www.proxyvote.com.Please date, sign and mail yourProxy card back as soon as possible!T04184-Z93966PROXYCOHERENT CORP.Annual Meeting of ShareholdersNovember 18, 2026THIS PROXY IS SOLICITED ON BEHALF OF THEBOARD OF DIRECTORS OF THE COMPANYThe undersigned hereby appoints James R. Anderson and Rob Beard, or either of them, with power of substitution to each, as proxies to represent and to vote as designated on the reverse all of the shares of Common Stock held of record at the close of business on September 21, 2026 by the undersigned at the annual meeting of shareholders of Coherent Corp. to be held online at www.virtualshareholdermeeting.com/COHR2026, on November 18, 2026 at 12:00 p.m. Eastern Standard Time, 9:00 a.m. Pacific Standard Time, and at any adjournment thereof.This proxy will be voted by the proxies as directed, or if no direction is indicated herein, the proxies shall vote in the election of the Class Three Directors (Proposal Number 1) FOR ALL the nominees listed and FOR Proposal Numbers 2 and 3.(PLEASE SIGN ON REVERSE SIDE AND RETURN PROMPTLY)</w:t>
      </w:r>
      <w:r>
        <w:rPr>
          <w:rFonts w:ascii="Arial;Helvetica;sans-serif" w:hAnsi="Arial;Helvetica;sans-serif"/>
          <w:b w:val="false"/>
          <w:i w:val="false"/>
          <w:caps w:val="false"/>
          <w:smallCaps w:val="false"/>
          <w:color w:val="FFFFFF"/>
          <w:sz w:val="2"/>
          <w:shd w:fill="FFFFFF" w:val="clear"/>
        </w:rPr>
        <w:t xml:space="preserve"> </w:t>
      </w:r>
    </w:p>
    <w:p>
      <w:pPr>
        <w:pStyle w:val="HorizontalLine"/>
        <w:bidi w:val="0"/>
        <w:spacing w:before="40" w:after="350"/>
        <w:ind w:left="40" w:right="4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ahoma">
    <w:altName w:val="Geneva"/>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image" Target="media/image1.gif"/><Relationship Id="rId5" Type="http://schemas.openxmlformats.org/officeDocument/2006/relationships/image" Target="media/image2.gif"/><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6.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7.jpeg"/><Relationship Id="rId15" Type="http://schemas.openxmlformats.org/officeDocument/2006/relationships/image" Target="media/image8.gif"/><Relationship Id="rId16" Type="http://schemas.openxmlformats.org/officeDocument/2006/relationships/image" Target="media/image8.gif"/><Relationship Id="rId17" Type="http://schemas.openxmlformats.org/officeDocument/2006/relationships/image" Target="media/image8.gif"/><Relationship Id="rId18" Type="http://schemas.openxmlformats.org/officeDocument/2006/relationships/image" Target="media/image8.gif"/><Relationship Id="rId19" Type="http://schemas.openxmlformats.org/officeDocument/2006/relationships/image" Target="media/image9.gif"/><Relationship Id="rId20" Type="http://schemas.openxmlformats.org/officeDocument/2006/relationships/image" Target="media/image8.gif"/><Relationship Id="rId21" Type="http://schemas.openxmlformats.org/officeDocument/2006/relationships/image" Target="media/image8.gif"/><Relationship Id="rId22" Type="http://schemas.openxmlformats.org/officeDocument/2006/relationships/image" Target="media/image8.gif"/><Relationship Id="rId23" Type="http://schemas.openxmlformats.org/officeDocument/2006/relationships/image" Target="media/image8.gif"/><Relationship Id="rId24" Type="http://schemas.openxmlformats.org/officeDocument/2006/relationships/image" Target="media/image9.gif"/><Relationship Id="rId25" Type="http://schemas.openxmlformats.org/officeDocument/2006/relationships/image" Target="media/image10.jpeg"/><Relationship Id="rId26" Type="http://schemas.openxmlformats.org/officeDocument/2006/relationships/image" Target="media/image11.jpeg"/><Relationship Id="rId27" Type="http://schemas.openxmlformats.org/officeDocument/2006/relationships/image" Target="media/image12.jpeg"/><Relationship Id="rId28" Type="http://schemas.openxmlformats.org/officeDocument/2006/relationships/image" Target="media/image10.jpeg"/><Relationship Id="rId29" Type="http://schemas.openxmlformats.org/officeDocument/2006/relationships/image" Target="media/image11.jpeg"/><Relationship Id="rId30" Type="http://schemas.openxmlformats.org/officeDocument/2006/relationships/image" Target="media/image12.jpeg"/><Relationship Id="rId31" Type="http://schemas.openxmlformats.org/officeDocument/2006/relationships/image" Target="media/image10.jpeg"/><Relationship Id="rId32" Type="http://schemas.openxmlformats.org/officeDocument/2006/relationships/image" Target="media/image11.jpeg"/><Relationship Id="rId33" Type="http://schemas.openxmlformats.org/officeDocument/2006/relationships/image" Target="media/image11.jpeg"/><Relationship Id="rId34" Type="http://schemas.openxmlformats.org/officeDocument/2006/relationships/image" Target="media/image10.jpeg"/><Relationship Id="rId35" Type="http://schemas.openxmlformats.org/officeDocument/2006/relationships/image" Target="media/image11.jpeg"/><Relationship Id="rId36" Type="http://schemas.openxmlformats.org/officeDocument/2006/relationships/image" Target="media/image10.jpeg"/><Relationship Id="rId37" Type="http://schemas.openxmlformats.org/officeDocument/2006/relationships/image" Target="media/image11.jpeg"/><Relationship Id="rId38" Type="http://schemas.openxmlformats.org/officeDocument/2006/relationships/image" Target="media/image10.jpeg"/><Relationship Id="rId39" Type="http://schemas.openxmlformats.org/officeDocument/2006/relationships/image" Target="media/image11.jpeg"/><Relationship Id="rId40" Type="http://schemas.openxmlformats.org/officeDocument/2006/relationships/image" Target="media/image10.jpeg"/><Relationship Id="rId41" Type="http://schemas.openxmlformats.org/officeDocument/2006/relationships/image" Target="media/image11.jpeg"/><Relationship Id="rId42" Type="http://schemas.openxmlformats.org/officeDocument/2006/relationships/image" Target="media/image10.jpeg"/><Relationship Id="rId43" Type="http://schemas.openxmlformats.org/officeDocument/2006/relationships/image" Target="media/image11.jpeg"/><Relationship Id="rId44" Type="http://schemas.openxmlformats.org/officeDocument/2006/relationships/image" Target="media/image10.jpeg"/><Relationship Id="rId45" Type="http://schemas.openxmlformats.org/officeDocument/2006/relationships/image" Target="media/image11.jpeg"/><Relationship Id="rId46" Type="http://schemas.openxmlformats.org/officeDocument/2006/relationships/image" Target="media/image12.jpeg"/><Relationship Id="rId47" Type="http://schemas.openxmlformats.org/officeDocument/2006/relationships/image" Target="media/image10.jpeg"/><Relationship Id="rId48" Type="http://schemas.openxmlformats.org/officeDocument/2006/relationships/image" Target="media/image13.jpeg"/><Relationship Id="rId49" Type="http://schemas.openxmlformats.org/officeDocument/2006/relationships/image" Target="media/image11.jpeg"/><Relationship Id="rId50" Type="http://schemas.openxmlformats.org/officeDocument/2006/relationships/image" Target="media/image10.jpeg"/><Relationship Id="rId51" Type="http://schemas.openxmlformats.org/officeDocument/2006/relationships/image" Target="media/image10.jpeg"/><Relationship Id="rId52" Type="http://schemas.openxmlformats.org/officeDocument/2006/relationships/image" Target="media/image11.jpeg"/><Relationship Id="rId53" Type="http://schemas.openxmlformats.org/officeDocument/2006/relationships/image" Target="media/image10.jpeg"/><Relationship Id="rId54" Type="http://schemas.openxmlformats.org/officeDocument/2006/relationships/image" Target="media/image11.jpeg"/><Relationship Id="rId55" Type="http://schemas.openxmlformats.org/officeDocument/2006/relationships/image" Target="media/image11.jpeg"/><Relationship Id="rId56" Type="http://schemas.openxmlformats.org/officeDocument/2006/relationships/image" Target="media/image12.jpeg"/><Relationship Id="rId57" Type="http://schemas.openxmlformats.org/officeDocument/2006/relationships/image" Target="media/image11.jpeg"/><Relationship Id="rId58" Type="http://schemas.openxmlformats.org/officeDocument/2006/relationships/image" Target="media/image11.jpeg"/><Relationship Id="rId59" Type="http://schemas.openxmlformats.org/officeDocument/2006/relationships/image" Target="media/image11.jpeg"/><Relationship Id="rId60" Type="http://schemas.openxmlformats.org/officeDocument/2006/relationships/image" Target="media/image11.jpeg"/><Relationship Id="rId61" Type="http://schemas.openxmlformats.org/officeDocument/2006/relationships/image" Target="media/image11.jpeg"/><Relationship Id="rId62" Type="http://schemas.openxmlformats.org/officeDocument/2006/relationships/image" Target="media/image11.jpeg"/><Relationship Id="rId63" Type="http://schemas.openxmlformats.org/officeDocument/2006/relationships/image" Target="media/image11.jpeg"/><Relationship Id="rId64" Type="http://schemas.openxmlformats.org/officeDocument/2006/relationships/image" Target="media/image11.jpeg"/><Relationship Id="rId65" Type="http://schemas.openxmlformats.org/officeDocument/2006/relationships/image" Target="media/image11.jpeg"/><Relationship Id="rId66" Type="http://schemas.openxmlformats.org/officeDocument/2006/relationships/image" Target="media/image11.jpeg"/><Relationship Id="rId67" Type="http://schemas.openxmlformats.org/officeDocument/2006/relationships/image" Target="media/image11.jpeg"/><Relationship Id="rId68" Type="http://schemas.openxmlformats.org/officeDocument/2006/relationships/image" Target="media/image11.jpeg"/><Relationship Id="rId69" Type="http://schemas.openxmlformats.org/officeDocument/2006/relationships/image" Target="media/image11.jpeg"/><Relationship Id="rId70" Type="http://schemas.openxmlformats.org/officeDocument/2006/relationships/image" Target="media/image11.jpeg"/><Relationship Id="rId71" Type="http://schemas.openxmlformats.org/officeDocument/2006/relationships/image" Target="media/image11.jpeg"/><Relationship Id="rId72" Type="http://schemas.openxmlformats.org/officeDocument/2006/relationships/image" Target="media/image11.jpeg"/><Relationship Id="rId73" Type="http://schemas.openxmlformats.org/officeDocument/2006/relationships/image" Target="media/image11.jpeg"/><Relationship Id="rId74" Type="http://schemas.openxmlformats.org/officeDocument/2006/relationships/image" Target="media/image11.jpeg"/><Relationship Id="rId75" Type="http://schemas.openxmlformats.org/officeDocument/2006/relationships/image" Target="media/image11.jpeg"/><Relationship Id="rId76" Type="http://schemas.openxmlformats.org/officeDocument/2006/relationships/image" Target="media/image11.jpeg"/><Relationship Id="rId77" Type="http://schemas.openxmlformats.org/officeDocument/2006/relationships/image" Target="media/image11.jpeg"/><Relationship Id="rId78" Type="http://schemas.openxmlformats.org/officeDocument/2006/relationships/image" Target="media/image11.jpeg"/><Relationship Id="rId79" Type="http://schemas.openxmlformats.org/officeDocument/2006/relationships/image" Target="media/image11.jpeg"/><Relationship Id="rId80" Type="http://schemas.openxmlformats.org/officeDocument/2006/relationships/image" Target="media/image11.jpeg"/><Relationship Id="rId81" Type="http://schemas.openxmlformats.org/officeDocument/2006/relationships/image" Target="media/image11.jpeg"/><Relationship Id="rId82" Type="http://schemas.openxmlformats.org/officeDocument/2006/relationships/image" Target="media/image11.jpeg"/><Relationship Id="rId83" Type="http://schemas.openxmlformats.org/officeDocument/2006/relationships/image" Target="media/image11.jpeg"/><Relationship Id="rId84" Type="http://schemas.openxmlformats.org/officeDocument/2006/relationships/image" Target="media/image11.jpeg"/><Relationship Id="rId85" Type="http://schemas.openxmlformats.org/officeDocument/2006/relationships/image" Target="media/image11.jpeg"/><Relationship Id="rId86" Type="http://schemas.openxmlformats.org/officeDocument/2006/relationships/image" Target="media/image11.jpeg"/><Relationship Id="rId87" Type="http://schemas.openxmlformats.org/officeDocument/2006/relationships/image" Target="media/image11.jpeg"/><Relationship Id="rId88" Type="http://schemas.openxmlformats.org/officeDocument/2006/relationships/image" Target="media/image11.jpeg"/><Relationship Id="rId89" Type="http://schemas.openxmlformats.org/officeDocument/2006/relationships/image" Target="media/image11.jpeg"/><Relationship Id="rId90" Type="http://schemas.openxmlformats.org/officeDocument/2006/relationships/image" Target="media/image11.jpeg"/><Relationship Id="rId91" Type="http://schemas.openxmlformats.org/officeDocument/2006/relationships/image" Target="media/image11.jpeg"/><Relationship Id="rId92" Type="http://schemas.openxmlformats.org/officeDocument/2006/relationships/image" Target="media/image11.jpeg"/><Relationship Id="rId93" Type="http://schemas.openxmlformats.org/officeDocument/2006/relationships/image" Target="media/image11.jpeg"/><Relationship Id="rId94" Type="http://schemas.openxmlformats.org/officeDocument/2006/relationships/image" Target="media/image11.jpeg"/><Relationship Id="rId95" Type="http://schemas.openxmlformats.org/officeDocument/2006/relationships/image" Target="media/image11.jpeg"/><Relationship Id="rId96" Type="http://schemas.openxmlformats.org/officeDocument/2006/relationships/image" Target="media/image11.jpeg"/><Relationship Id="rId97" Type="http://schemas.openxmlformats.org/officeDocument/2006/relationships/image" Target="media/image11.jpeg"/><Relationship Id="rId98" Type="http://schemas.openxmlformats.org/officeDocument/2006/relationships/image" Target="media/image11.jpeg"/><Relationship Id="rId99" Type="http://schemas.openxmlformats.org/officeDocument/2006/relationships/image" Target="media/image11.jpeg"/><Relationship Id="rId100" Type="http://schemas.openxmlformats.org/officeDocument/2006/relationships/image" Target="media/image11.jpeg"/><Relationship Id="rId101" Type="http://schemas.openxmlformats.org/officeDocument/2006/relationships/image" Target="media/image11.jpeg"/><Relationship Id="rId102" Type="http://schemas.openxmlformats.org/officeDocument/2006/relationships/image" Target="media/image11.jpeg"/><Relationship Id="rId103" Type="http://schemas.openxmlformats.org/officeDocument/2006/relationships/image" Target="media/image11.jpeg"/><Relationship Id="rId104" Type="http://schemas.openxmlformats.org/officeDocument/2006/relationships/image" Target="media/image11.jpeg"/><Relationship Id="rId105" Type="http://schemas.openxmlformats.org/officeDocument/2006/relationships/image" Target="media/image11.jpeg"/><Relationship Id="rId106" Type="http://schemas.openxmlformats.org/officeDocument/2006/relationships/image" Target="media/image11.jpeg"/><Relationship Id="rId107" Type="http://schemas.openxmlformats.org/officeDocument/2006/relationships/image" Target="media/image11.jpeg"/><Relationship Id="rId108" Type="http://schemas.openxmlformats.org/officeDocument/2006/relationships/image" Target="media/image11.jpeg"/><Relationship Id="rId109" Type="http://schemas.openxmlformats.org/officeDocument/2006/relationships/image" Target="media/image11.jpeg"/><Relationship Id="rId110" Type="http://schemas.openxmlformats.org/officeDocument/2006/relationships/image" Target="media/image11.jpeg"/><Relationship Id="rId111" Type="http://schemas.openxmlformats.org/officeDocument/2006/relationships/image" Target="media/image11.jpeg"/><Relationship Id="rId112" Type="http://schemas.openxmlformats.org/officeDocument/2006/relationships/image" Target="media/image11.jpeg"/><Relationship Id="rId113" Type="http://schemas.openxmlformats.org/officeDocument/2006/relationships/image" Target="media/image11.jpeg"/><Relationship Id="rId114" Type="http://schemas.openxmlformats.org/officeDocument/2006/relationships/image" Target="media/image11.jpeg"/><Relationship Id="rId115" Type="http://schemas.openxmlformats.org/officeDocument/2006/relationships/image" Target="media/image11.jpeg"/><Relationship Id="rId116" Type="http://schemas.openxmlformats.org/officeDocument/2006/relationships/image" Target="media/image11.jpeg"/><Relationship Id="rId117" Type="http://schemas.openxmlformats.org/officeDocument/2006/relationships/image" Target="media/image11.jpeg"/><Relationship Id="rId118" Type="http://schemas.openxmlformats.org/officeDocument/2006/relationships/image" Target="media/image11.jpeg"/><Relationship Id="rId119" Type="http://schemas.openxmlformats.org/officeDocument/2006/relationships/image" Target="media/image11.jpeg"/><Relationship Id="rId120" Type="http://schemas.openxmlformats.org/officeDocument/2006/relationships/image" Target="media/image11.jpeg"/><Relationship Id="rId121" Type="http://schemas.openxmlformats.org/officeDocument/2006/relationships/image" Target="media/image11.jpeg"/><Relationship Id="rId122" Type="http://schemas.openxmlformats.org/officeDocument/2006/relationships/image" Target="media/image11.jpeg"/><Relationship Id="rId123" Type="http://schemas.openxmlformats.org/officeDocument/2006/relationships/image" Target="media/image11.jpeg"/><Relationship Id="rId124" Type="http://schemas.openxmlformats.org/officeDocument/2006/relationships/image" Target="media/image11.jpeg"/><Relationship Id="rId125" Type="http://schemas.openxmlformats.org/officeDocument/2006/relationships/image" Target="media/image11.jpeg"/><Relationship Id="rId126" Type="http://schemas.openxmlformats.org/officeDocument/2006/relationships/image" Target="media/image11.jpeg"/><Relationship Id="rId127" Type="http://schemas.openxmlformats.org/officeDocument/2006/relationships/image" Target="media/image11.jpeg"/><Relationship Id="rId128" Type="http://schemas.openxmlformats.org/officeDocument/2006/relationships/image" Target="media/image11.jpeg"/><Relationship Id="rId129" Type="http://schemas.openxmlformats.org/officeDocument/2006/relationships/image" Target="media/image11.jpeg"/><Relationship Id="rId130" Type="http://schemas.openxmlformats.org/officeDocument/2006/relationships/image" Target="media/image11.jpeg"/><Relationship Id="rId131" Type="http://schemas.openxmlformats.org/officeDocument/2006/relationships/image" Target="media/image11.jpeg"/><Relationship Id="rId132" Type="http://schemas.openxmlformats.org/officeDocument/2006/relationships/image" Target="media/image11.jpeg"/><Relationship Id="rId133" Type="http://schemas.openxmlformats.org/officeDocument/2006/relationships/image" Target="media/image11.jpeg"/><Relationship Id="rId134" Type="http://schemas.openxmlformats.org/officeDocument/2006/relationships/image" Target="media/image11.jpeg"/><Relationship Id="rId135" Type="http://schemas.openxmlformats.org/officeDocument/2006/relationships/image" Target="media/image11.jpeg"/><Relationship Id="rId136" Type="http://schemas.openxmlformats.org/officeDocument/2006/relationships/image" Target="media/image11.jpeg"/><Relationship Id="rId137" Type="http://schemas.openxmlformats.org/officeDocument/2006/relationships/image" Target="media/image11.jpeg"/><Relationship Id="rId138" Type="http://schemas.openxmlformats.org/officeDocument/2006/relationships/image" Target="media/image11.jpeg"/><Relationship Id="rId139" Type="http://schemas.openxmlformats.org/officeDocument/2006/relationships/image" Target="media/image11.jpeg"/><Relationship Id="rId140" Type="http://schemas.openxmlformats.org/officeDocument/2006/relationships/image" Target="media/image11.jpeg"/><Relationship Id="rId141" Type="http://schemas.openxmlformats.org/officeDocument/2006/relationships/image" Target="media/image11.jpeg"/><Relationship Id="rId142" Type="http://schemas.openxmlformats.org/officeDocument/2006/relationships/image" Target="media/image11.jpeg"/><Relationship Id="rId143" Type="http://schemas.openxmlformats.org/officeDocument/2006/relationships/image" Target="media/image11.jpeg"/><Relationship Id="rId144" Type="http://schemas.openxmlformats.org/officeDocument/2006/relationships/image" Target="media/image11.jpeg"/><Relationship Id="rId145" Type="http://schemas.openxmlformats.org/officeDocument/2006/relationships/image" Target="media/image11.jpeg"/><Relationship Id="rId146" Type="http://schemas.openxmlformats.org/officeDocument/2006/relationships/image" Target="media/image11.jpeg"/><Relationship Id="rId147" Type="http://schemas.openxmlformats.org/officeDocument/2006/relationships/image" Target="media/image11.jpeg"/><Relationship Id="rId148" Type="http://schemas.openxmlformats.org/officeDocument/2006/relationships/image" Target="media/image11.jpeg"/><Relationship Id="rId149" Type="http://schemas.openxmlformats.org/officeDocument/2006/relationships/image" Target="media/image11.jpeg"/><Relationship Id="rId150" Type="http://schemas.openxmlformats.org/officeDocument/2006/relationships/image" Target="media/image11.jpeg"/><Relationship Id="rId151" Type="http://schemas.openxmlformats.org/officeDocument/2006/relationships/image" Target="media/image11.jpeg"/><Relationship Id="rId152" Type="http://schemas.openxmlformats.org/officeDocument/2006/relationships/image" Target="media/image11.jpeg"/><Relationship Id="rId153" Type="http://schemas.openxmlformats.org/officeDocument/2006/relationships/image" Target="media/image11.jpeg"/><Relationship Id="rId154" Type="http://schemas.openxmlformats.org/officeDocument/2006/relationships/image" Target="media/image11.jpeg"/><Relationship Id="rId155" Type="http://schemas.openxmlformats.org/officeDocument/2006/relationships/image" Target="media/image11.jpeg"/><Relationship Id="rId156" Type="http://schemas.openxmlformats.org/officeDocument/2006/relationships/image" Target="media/image11.jpeg"/><Relationship Id="rId157" Type="http://schemas.openxmlformats.org/officeDocument/2006/relationships/image" Target="media/image11.jpeg"/><Relationship Id="rId158" Type="http://schemas.openxmlformats.org/officeDocument/2006/relationships/image" Target="media/image11.jpeg"/><Relationship Id="rId159" Type="http://schemas.openxmlformats.org/officeDocument/2006/relationships/image" Target="media/image11.jpeg"/><Relationship Id="rId160" Type="http://schemas.openxmlformats.org/officeDocument/2006/relationships/image" Target="media/image11.jpeg"/><Relationship Id="rId161" Type="http://schemas.openxmlformats.org/officeDocument/2006/relationships/image" Target="media/image11.jpeg"/><Relationship Id="rId162" Type="http://schemas.openxmlformats.org/officeDocument/2006/relationships/image" Target="media/image11.jpeg"/><Relationship Id="rId163" Type="http://schemas.openxmlformats.org/officeDocument/2006/relationships/image" Target="media/image11.jpeg"/><Relationship Id="rId164" Type="http://schemas.openxmlformats.org/officeDocument/2006/relationships/image" Target="media/image11.jpeg"/><Relationship Id="rId165" Type="http://schemas.openxmlformats.org/officeDocument/2006/relationships/image" Target="media/image11.jpeg"/><Relationship Id="rId166" Type="http://schemas.openxmlformats.org/officeDocument/2006/relationships/image" Target="media/image11.jpeg"/><Relationship Id="rId167" Type="http://schemas.openxmlformats.org/officeDocument/2006/relationships/image" Target="media/image11.jpeg"/><Relationship Id="rId168" Type="http://schemas.openxmlformats.org/officeDocument/2006/relationships/image" Target="media/image11.jpeg"/><Relationship Id="rId169" Type="http://schemas.openxmlformats.org/officeDocument/2006/relationships/image" Target="media/image11.jpeg"/><Relationship Id="rId170" Type="http://schemas.openxmlformats.org/officeDocument/2006/relationships/image" Target="media/image11.jpeg"/><Relationship Id="rId171" Type="http://schemas.openxmlformats.org/officeDocument/2006/relationships/image" Target="media/image11.jpeg"/><Relationship Id="rId172" Type="http://schemas.openxmlformats.org/officeDocument/2006/relationships/image" Target="media/image11.jpeg"/><Relationship Id="rId173" Type="http://schemas.openxmlformats.org/officeDocument/2006/relationships/image" Target="media/image11.jpeg"/><Relationship Id="rId174" Type="http://schemas.openxmlformats.org/officeDocument/2006/relationships/image" Target="media/image14.jpeg"/><Relationship Id="rId175" Type="http://schemas.openxmlformats.org/officeDocument/2006/relationships/image" Target="media/image15.jpeg"/><Relationship Id="rId176" Type="http://schemas.openxmlformats.org/officeDocument/2006/relationships/image" Target="media/image16.jpeg"/><Relationship Id="rId177" Type="http://schemas.openxmlformats.org/officeDocument/2006/relationships/image" Target="media/image17.jpeg"/><Relationship Id="rId178" Type="http://schemas.openxmlformats.org/officeDocument/2006/relationships/image" Target="media/image18.jpeg"/><Relationship Id="rId179" Type="http://schemas.openxmlformats.org/officeDocument/2006/relationships/image" Target="media/image14.jpeg"/><Relationship Id="rId180" Type="http://schemas.openxmlformats.org/officeDocument/2006/relationships/image" Target="media/image14.jpeg"/><Relationship Id="rId181" Type="http://schemas.openxmlformats.org/officeDocument/2006/relationships/image" Target="media/image15.jpeg"/><Relationship Id="rId182" Type="http://schemas.openxmlformats.org/officeDocument/2006/relationships/image" Target="media/image19.jpeg"/><Relationship Id="rId183" Type="http://schemas.openxmlformats.org/officeDocument/2006/relationships/image" Target="media/image16.jpeg"/><Relationship Id="rId184" Type="http://schemas.openxmlformats.org/officeDocument/2006/relationships/image" Target="media/image15.jpeg"/><Relationship Id="rId185" Type="http://schemas.openxmlformats.org/officeDocument/2006/relationships/image" Target="media/image20.jpeg"/><Relationship Id="rId186" Type="http://schemas.openxmlformats.org/officeDocument/2006/relationships/image" Target="media/image21.jpeg"/><Relationship Id="rId187" Type="http://schemas.openxmlformats.org/officeDocument/2006/relationships/image" Target="media/image22.jpeg"/><Relationship Id="rId188" Type="http://schemas.openxmlformats.org/officeDocument/2006/relationships/image" Target="media/image23.jpeg"/><Relationship Id="rId189" Type="http://schemas.openxmlformats.org/officeDocument/2006/relationships/image" Target="media/image24.jpeg"/><Relationship Id="rId190" Type="http://schemas.openxmlformats.org/officeDocument/2006/relationships/image" Target="media/image25.jpeg"/><Relationship Id="rId191" Type="http://schemas.openxmlformats.org/officeDocument/2006/relationships/image" Target="media/image26.jpeg"/><Relationship Id="rId192" Type="http://schemas.openxmlformats.org/officeDocument/2006/relationships/image" Target="media/image27.jpeg"/><Relationship Id="rId193" Type="http://schemas.openxmlformats.org/officeDocument/2006/relationships/image" Target="media/image28.jpeg"/><Relationship Id="rId194" Type="http://schemas.openxmlformats.org/officeDocument/2006/relationships/image" Target="media/image29.jpeg"/><Relationship Id="rId195" Type="http://schemas.openxmlformats.org/officeDocument/2006/relationships/image" Target="media/image30.jpeg"/><Relationship Id="rId196" Type="http://schemas.openxmlformats.org/officeDocument/2006/relationships/image" Target="media/image6.jpeg"/><Relationship Id="rId197" Type="http://schemas.openxmlformats.org/officeDocument/2006/relationships/image" Target="media/image6.jpeg"/><Relationship Id="rId198" Type="http://schemas.openxmlformats.org/officeDocument/2006/relationships/image" Target="media/image6.jpeg"/><Relationship Id="rId199" Type="http://schemas.openxmlformats.org/officeDocument/2006/relationships/image" Target="media/image6.jpeg"/><Relationship Id="rId200" Type="http://schemas.openxmlformats.org/officeDocument/2006/relationships/image" Target="media/image6.jpeg"/><Relationship Id="rId201" Type="http://schemas.openxmlformats.org/officeDocument/2006/relationships/image" Target="media/image6.jpeg"/><Relationship Id="rId202" Type="http://schemas.openxmlformats.org/officeDocument/2006/relationships/image" Target="media/image6.jpeg"/><Relationship Id="rId203" Type="http://schemas.openxmlformats.org/officeDocument/2006/relationships/image" Target="media/image6.jpeg"/><Relationship Id="rId204" Type="http://schemas.openxmlformats.org/officeDocument/2006/relationships/image" Target="media/image6.jpeg"/><Relationship Id="rId205" Type="http://schemas.openxmlformats.org/officeDocument/2006/relationships/image" Target="media/image6.jpeg"/><Relationship Id="rId206" Type="http://schemas.openxmlformats.org/officeDocument/2006/relationships/image" Target="media/image6.jpeg"/><Relationship Id="rId207" Type="http://schemas.openxmlformats.org/officeDocument/2006/relationships/image" Target="media/image6.jpeg"/><Relationship Id="rId208" Type="http://schemas.openxmlformats.org/officeDocument/2006/relationships/image" Target="media/image6.jpeg"/><Relationship Id="rId209" Type="http://schemas.openxmlformats.org/officeDocument/2006/relationships/image" Target="media/image6.jpeg"/><Relationship Id="rId210" Type="http://schemas.openxmlformats.org/officeDocument/2006/relationships/image" Target="media/image6.jpeg"/><Relationship Id="rId211" Type="http://schemas.openxmlformats.org/officeDocument/2006/relationships/image" Target="media/image6.jpeg"/><Relationship Id="rId212" Type="http://schemas.openxmlformats.org/officeDocument/2006/relationships/image" Target="media/image6.jpeg"/><Relationship Id="rId213" Type="http://schemas.openxmlformats.org/officeDocument/2006/relationships/image" Target="media/image6.jpeg"/><Relationship Id="rId214" Type="http://schemas.openxmlformats.org/officeDocument/2006/relationships/image" Target="media/image6.jpeg"/><Relationship Id="rId215" Type="http://schemas.openxmlformats.org/officeDocument/2006/relationships/image" Target="media/image6.jpeg"/><Relationship Id="rId216" Type="http://schemas.openxmlformats.org/officeDocument/2006/relationships/image" Target="media/image6.jpeg"/><Relationship Id="rId217" Type="http://schemas.openxmlformats.org/officeDocument/2006/relationships/image" Target="media/image6.jpeg"/><Relationship Id="rId218" Type="http://schemas.openxmlformats.org/officeDocument/2006/relationships/image" Target="media/image6.jpeg"/><Relationship Id="rId219" Type="http://schemas.openxmlformats.org/officeDocument/2006/relationships/image" Target="media/image6.jpeg"/><Relationship Id="rId220" Type="http://schemas.openxmlformats.org/officeDocument/2006/relationships/image" Target="media/image31.jpeg"/><Relationship Id="rId221" Type="http://schemas.openxmlformats.org/officeDocument/2006/relationships/image" Target="media/image32.jpeg"/><Relationship Id="rId222" Type="http://schemas.openxmlformats.org/officeDocument/2006/relationships/image" Target="media/image33.jpeg"/><Relationship Id="rId223" Type="http://schemas.openxmlformats.org/officeDocument/2006/relationships/image" Target="media/image34.jpeg"/><Relationship Id="rId224" Type="http://schemas.openxmlformats.org/officeDocument/2006/relationships/image" Target="media/image6.jpeg"/><Relationship Id="rId225" Type="http://schemas.openxmlformats.org/officeDocument/2006/relationships/image" Target="media/image6.jpeg"/><Relationship Id="rId226" Type="http://schemas.openxmlformats.org/officeDocument/2006/relationships/image" Target="media/image6.jpeg"/><Relationship Id="rId227" Type="http://schemas.openxmlformats.org/officeDocument/2006/relationships/image" Target="media/image6.jpeg"/><Relationship Id="rId228" Type="http://schemas.openxmlformats.org/officeDocument/2006/relationships/image" Target="media/image6.jpeg"/><Relationship Id="rId229" Type="http://schemas.openxmlformats.org/officeDocument/2006/relationships/image" Target="media/image35.jpeg"/><Relationship Id="rId230" Type="http://schemas.openxmlformats.org/officeDocument/2006/relationships/image" Target="media/image36.jpeg"/><Relationship Id="rId231" Type="http://schemas.openxmlformats.org/officeDocument/2006/relationships/image" Target="media/image37.jpeg"/><Relationship Id="rId232" Type="http://schemas.openxmlformats.org/officeDocument/2006/relationships/fontTable" Target="fontTable.xml"/><Relationship Id="rId2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34903</Words>
  <Characters>196807</Characters>
  <CharactersWithSpaces>240786</CharactersWithSpaces>
  <Paragraphs>10154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